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2BCDA" w14:textId="2E53CE57" w:rsidR="00BD63D0" w:rsidRPr="00BD63D0" w:rsidRDefault="007057F5" w:rsidP="00BD63D0">
      <w:pPr>
        <w:pStyle w:val="Fichedinformationtitre"/>
        <w:rPr>
          <w:sz w:val="28"/>
          <w:szCs w:val="28"/>
          <w:u w:val="none"/>
          <w:lang w:val="en-GB"/>
        </w:rPr>
      </w:pPr>
      <w:bookmarkStart w:id="0" w:name="_GoBack"/>
      <w:bookmarkEnd w:id="0"/>
      <w:r w:rsidRPr="00BD63D0">
        <w:rPr>
          <w:sz w:val="28"/>
          <w:szCs w:val="28"/>
          <w:u w:val="none"/>
          <w:lang w:val="en-GB"/>
        </w:rPr>
        <w:t>Concept Note</w:t>
      </w:r>
    </w:p>
    <w:p w14:paraId="4A3282FB" w14:textId="62248D04" w:rsidR="00AE21A5" w:rsidRPr="00BD63D0" w:rsidRDefault="007057F5" w:rsidP="00BD63D0">
      <w:pPr>
        <w:pStyle w:val="Fichedinformationtitre"/>
        <w:rPr>
          <w:sz w:val="28"/>
          <w:szCs w:val="28"/>
          <w:u w:val="none"/>
          <w:lang w:val="en-GB"/>
        </w:rPr>
      </w:pPr>
      <w:r w:rsidRPr="00BD63D0">
        <w:rPr>
          <w:sz w:val="28"/>
          <w:szCs w:val="28"/>
          <w:u w:val="none"/>
          <w:lang w:val="en-GB"/>
        </w:rPr>
        <w:t xml:space="preserve">for an EU funded </w:t>
      </w:r>
      <w:r w:rsidR="00DF7D72" w:rsidRPr="00BD63D0">
        <w:rPr>
          <w:sz w:val="28"/>
          <w:szCs w:val="28"/>
          <w:u w:val="none"/>
          <w:lang w:val="en-GB"/>
        </w:rPr>
        <w:t xml:space="preserve">Action </w:t>
      </w:r>
      <w:r w:rsidRPr="00BD63D0">
        <w:rPr>
          <w:sz w:val="28"/>
          <w:szCs w:val="28"/>
          <w:u w:val="none"/>
          <w:lang w:val="en-GB"/>
        </w:rPr>
        <w:t>in</w:t>
      </w:r>
      <w:r w:rsidR="00DF7D72" w:rsidRPr="00BD63D0">
        <w:rPr>
          <w:sz w:val="28"/>
          <w:szCs w:val="28"/>
          <w:u w:val="none"/>
          <w:lang w:val="en-GB"/>
        </w:rPr>
        <w:t xml:space="preserve"> Health Development in </w:t>
      </w:r>
      <w:r w:rsidRPr="00BD63D0">
        <w:rPr>
          <w:sz w:val="28"/>
          <w:szCs w:val="28"/>
          <w:u w:val="none"/>
          <w:lang w:val="en-GB"/>
        </w:rPr>
        <w:t>Georgia</w:t>
      </w:r>
    </w:p>
    <w:p w14:paraId="0ED7A842" w14:textId="77777777" w:rsidR="00AE21A5" w:rsidRPr="008E37A0" w:rsidRDefault="00AE21A5" w:rsidP="00D54AF1">
      <w:pPr>
        <w:pStyle w:val="Corpo"/>
        <w:spacing w:after="120"/>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123"/>
        <w:gridCol w:w="6933"/>
      </w:tblGrid>
      <w:tr w:rsidR="00AE21A5" w:rsidRPr="008E37A0" w14:paraId="7A9568E2" w14:textId="77777777" w:rsidTr="006973C5">
        <w:trPr>
          <w:trHeight w:val="415"/>
        </w:trPr>
        <w:tc>
          <w:tcPr>
            <w:tcW w:w="11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17B02" w14:textId="5065BE47" w:rsidR="00AE21A5" w:rsidRPr="008E37A0" w:rsidRDefault="00DF7D72" w:rsidP="006F1484">
            <w:pPr>
              <w:pStyle w:val="Text1"/>
              <w:spacing w:before="60" w:after="0"/>
              <w:ind w:left="0"/>
              <w:jc w:val="left"/>
              <w:rPr>
                <w:rFonts w:cs="Times New Roman"/>
                <w:sz w:val="22"/>
                <w:szCs w:val="22"/>
                <w:lang w:val="en-GB"/>
              </w:rPr>
            </w:pPr>
            <w:r w:rsidRPr="008E37A0">
              <w:rPr>
                <w:rFonts w:cs="Times New Roman"/>
                <w:b/>
                <w:bCs/>
                <w:sz w:val="22"/>
                <w:szCs w:val="22"/>
                <w:lang w:val="en-GB"/>
              </w:rPr>
              <w:t>Title</w:t>
            </w:r>
          </w:p>
        </w:tc>
        <w:tc>
          <w:tcPr>
            <w:tcW w:w="3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20422" w14:textId="40FFE7A3" w:rsidR="00AE21A5" w:rsidRPr="008E37A0" w:rsidRDefault="00DF7D72" w:rsidP="007057F5">
            <w:pPr>
              <w:pStyle w:val="Text1"/>
              <w:spacing w:before="60" w:after="0"/>
              <w:ind w:left="0"/>
              <w:jc w:val="left"/>
              <w:rPr>
                <w:rFonts w:cs="Times New Roman"/>
                <w:sz w:val="22"/>
                <w:szCs w:val="22"/>
                <w:lang w:val="en-GB"/>
              </w:rPr>
            </w:pPr>
            <w:r w:rsidRPr="008E37A0">
              <w:rPr>
                <w:rFonts w:cs="Times New Roman"/>
                <w:sz w:val="22"/>
                <w:szCs w:val="22"/>
                <w:lang w:val="en-GB"/>
              </w:rPr>
              <w:t>Health Development Programme (</w:t>
            </w:r>
            <w:r w:rsidRPr="00A12BDE">
              <w:rPr>
                <w:rFonts w:cs="Times New Roman"/>
                <w:sz w:val="22"/>
                <w:szCs w:val="22"/>
                <w:lang w:val="en-GB"/>
              </w:rPr>
              <w:t>HDP</w:t>
            </w:r>
            <w:r w:rsidRPr="008E37A0">
              <w:rPr>
                <w:rFonts w:cs="Times New Roman"/>
                <w:sz w:val="22"/>
                <w:szCs w:val="22"/>
                <w:lang w:val="en-GB"/>
              </w:rPr>
              <w:t xml:space="preserve">) </w:t>
            </w:r>
          </w:p>
        </w:tc>
      </w:tr>
      <w:tr w:rsidR="00AE21A5" w:rsidRPr="008E37A0" w14:paraId="123590C5" w14:textId="77777777" w:rsidTr="006973C5">
        <w:trPr>
          <w:trHeight w:val="819"/>
        </w:trPr>
        <w:tc>
          <w:tcPr>
            <w:tcW w:w="11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5B2D1" w14:textId="38C27EC8" w:rsidR="00AE21A5" w:rsidRPr="008E37A0" w:rsidRDefault="00DF7D72" w:rsidP="006F1484">
            <w:pPr>
              <w:pStyle w:val="Text1"/>
              <w:spacing w:before="60" w:after="0"/>
              <w:ind w:left="0"/>
              <w:jc w:val="left"/>
              <w:rPr>
                <w:rFonts w:cs="Times New Roman"/>
                <w:sz w:val="22"/>
                <w:szCs w:val="22"/>
                <w:lang w:val="en-GB"/>
              </w:rPr>
            </w:pPr>
            <w:r w:rsidRPr="008E37A0">
              <w:rPr>
                <w:rFonts w:cs="Times New Roman"/>
                <w:b/>
                <w:bCs/>
                <w:sz w:val="22"/>
                <w:szCs w:val="22"/>
                <w:lang w:val="en-GB"/>
              </w:rPr>
              <w:t>Zone benefiting from the action/location</w:t>
            </w:r>
          </w:p>
        </w:tc>
        <w:tc>
          <w:tcPr>
            <w:tcW w:w="3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28998" w14:textId="78F39001" w:rsidR="00AE21A5" w:rsidRPr="008E37A0" w:rsidRDefault="007057F5" w:rsidP="007057F5">
            <w:pPr>
              <w:pStyle w:val="Corpo"/>
              <w:spacing w:before="120"/>
              <w:jc w:val="both"/>
              <w:rPr>
                <w:sz w:val="22"/>
                <w:szCs w:val="22"/>
              </w:rPr>
            </w:pPr>
            <w:r w:rsidRPr="008E37A0">
              <w:rPr>
                <w:sz w:val="22"/>
                <w:szCs w:val="22"/>
              </w:rPr>
              <w:t xml:space="preserve">Georgia / </w:t>
            </w:r>
            <w:r w:rsidR="00DF7D72" w:rsidRPr="008E37A0">
              <w:rPr>
                <w:sz w:val="22"/>
                <w:szCs w:val="22"/>
              </w:rPr>
              <w:t xml:space="preserve">The action shall be carried out at national level (the whole territory of </w:t>
            </w:r>
            <w:r w:rsidRPr="008E37A0">
              <w:rPr>
                <w:sz w:val="22"/>
                <w:szCs w:val="22"/>
              </w:rPr>
              <w:t>Georgia</w:t>
            </w:r>
            <w:r w:rsidR="00DF7D72" w:rsidRPr="008E37A0">
              <w:rPr>
                <w:sz w:val="22"/>
                <w:szCs w:val="22"/>
              </w:rPr>
              <w:t>)</w:t>
            </w:r>
          </w:p>
        </w:tc>
      </w:tr>
      <w:tr w:rsidR="00AE21A5" w:rsidRPr="008E37A0" w14:paraId="0A7D0E9A" w14:textId="77777777" w:rsidTr="00431189">
        <w:trPr>
          <w:trHeight w:val="964"/>
        </w:trPr>
        <w:tc>
          <w:tcPr>
            <w:tcW w:w="11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88279" w14:textId="1059DD08" w:rsidR="00AE21A5" w:rsidRPr="008E37A0" w:rsidRDefault="00DF7D72" w:rsidP="006F1484">
            <w:pPr>
              <w:pStyle w:val="Text1"/>
              <w:spacing w:before="0" w:after="0"/>
              <w:ind w:left="0"/>
              <w:jc w:val="left"/>
              <w:rPr>
                <w:rFonts w:cs="Times New Roman"/>
                <w:sz w:val="22"/>
                <w:szCs w:val="22"/>
                <w:lang w:val="en-GB"/>
              </w:rPr>
            </w:pPr>
            <w:r w:rsidRPr="008E37A0">
              <w:rPr>
                <w:rFonts w:cs="Times New Roman"/>
                <w:b/>
                <w:bCs/>
                <w:sz w:val="22"/>
                <w:szCs w:val="22"/>
                <w:lang w:val="en-GB"/>
              </w:rPr>
              <w:t>Sustainable Development Goals (SDGs)</w:t>
            </w:r>
          </w:p>
        </w:tc>
        <w:tc>
          <w:tcPr>
            <w:tcW w:w="3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244EF" w14:textId="12274C03" w:rsidR="00AE21A5" w:rsidRPr="008E37A0" w:rsidRDefault="00DF7D72" w:rsidP="006F1484">
            <w:pPr>
              <w:pStyle w:val="Text1"/>
              <w:spacing w:before="60" w:after="0"/>
              <w:ind w:left="0"/>
              <w:jc w:val="left"/>
              <w:rPr>
                <w:rFonts w:cs="Times New Roman"/>
                <w:sz w:val="22"/>
                <w:szCs w:val="22"/>
                <w:lang w:val="en-GB"/>
              </w:rPr>
            </w:pPr>
            <w:r w:rsidRPr="008E37A0">
              <w:rPr>
                <w:rFonts w:cs="Times New Roman"/>
                <w:sz w:val="22"/>
                <w:szCs w:val="22"/>
                <w:lang w:val="en-GB"/>
              </w:rPr>
              <w:t>Primary: SDGs 3 (Good Health and Well-Being), 5 (Gender Equ</w:t>
            </w:r>
            <w:r w:rsidR="00F4022B" w:rsidRPr="008E37A0">
              <w:rPr>
                <w:rFonts w:cs="Times New Roman"/>
                <w:sz w:val="22"/>
                <w:szCs w:val="22"/>
                <w:lang w:val="en-GB"/>
              </w:rPr>
              <w:t>alit</w:t>
            </w:r>
            <w:r w:rsidRPr="008E37A0">
              <w:rPr>
                <w:rFonts w:cs="Times New Roman"/>
                <w:sz w:val="22"/>
                <w:szCs w:val="22"/>
                <w:lang w:val="en-GB"/>
              </w:rPr>
              <w:t xml:space="preserve">y), 16 (Peace, Justice and Strong Institutions) and 17 (Partnership for the Goals) </w:t>
            </w:r>
          </w:p>
          <w:p w14:paraId="5F097FEA" w14:textId="40466864" w:rsidR="00AE21A5" w:rsidRPr="008E37A0" w:rsidRDefault="00DF7D72" w:rsidP="006F1484">
            <w:pPr>
              <w:pStyle w:val="Text1"/>
              <w:spacing w:before="60" w:after="0"/>
              <w:ind w:left="0"/>
              <w:jc w:val="left"/>
              <w:rPr>
                <w:rFonts w:cs="Times New Roman"/>
                <w:sz w:val="22"/>
                <w:szCs w:val="22"/>
                <w:lang w:val="en-GB"/>
              </w:rPr>
            </w:pPr>
            <w:r w:rsidRPr="008E37A0">
              <w:rPr>
                <w:rFonts w:cs="Times New Roman"/>
                <w:sz w:val="22"/>
                <w:szCs w:val="22"/>
                <w:lang w:val="en-GB"/>
              </w:rPr>
              <w:t>Secondary: SDGs 1</w:t>
            </w:r>
            <w:r w:rsidR="00E8599B" w:rsidRPr="008E37A0">
              <w:rPr>
                <w:rFonts w:cs="Times New Roman"/>
                <w:sz w:val="22"/>
                <w:szCs w:val="22"/>
                <w:lang w:val="en-GB"/>
              </w:rPr>
              <w:t xml:space="preserve"> </w:t>
            </w:r>
            <w:r w:rsidRPr="008E37A0">
              <w:rPr>
                <w:rFonts w:cs="Times New Roman"/>
                <w:sz w:val="22"/>
                <w:szCs w:val="22"/>
                <w:lang w:val="en-GB"/>
              </w:rPr>
              <w:t>(End Poverty) and 10 (Reduced Inequalities)</w:t>
            </w:r>
          </w:p>
        </w:tc>
      </w:tr>
      <w:tr w:rsidR="007057F5" w:rsidRPr="008E37A0" w14:paraId="2E102A01" w14:textId="77777777" w:rsidTr="00431189">
        <w:trPr>
          <w:trHeight w:val="626"/>
        </w:trPr>
        <w:tc>
          <w:tcPr>
            <w:tcW w:w="11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5CE35" w14:textId="44550BE4" w:rsidR="007057F5" w:rsidRPr="008E37A0" w:rsidRDefault="007057F5" w:rsidP="006F1484">
            <w:pPr>
              <w:pStyle w:val="Text1"/>
              <w:spacing w:before="0" w:after="0"/>
              <w:ind w:left="0"/>
              <w:jc w:val="left"/>
              <w:rPr>
                <w:rFonts w:cs="Times New Roman"/>
                <w:sz w:val="22"/>
                <w:szCs w:val="22"/>
                <w:lang w:val="en-GB"/>
              </w:rPr>
            </w:pPr>
            <w:r w:rsidRPr="008E37A0">
              <w:rPr>
                <w:rFonts w:cs="Times New Roman"/>
                <w:b/>
                <w:bCs/>
                <w:sz w:val="22"/>
                <w:szCs w:val="22"/>
                <w:lang w:val="en-GB"/>
              </w:rPr>
              <w:t>Sector of intervention</w:t>
            </w:r>
          </w:p>
        </w:tc>
        <w:tc>
          <w:tcPr>
            <w:tcW w:w="3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A356B" w14:textId="5401DC6B" w:rsidR="007057F5" w:rsidRPr="008E37A0" w:rsidRDefault="007057F5" w:rsidP="006F1484">
            <w:pPr>
              <w:pStyle w:val="Text1"/>
              <w:spacing w:before="60" w:after="0"/>
              <w:ind w:left="0"/>
              <w:jc w:val="left"/>
              <w:rPr>
                <w:rFonts w:cs="Times New Roman"/>
                <w:sz w:val="22"/>
                <w:szCs w:val="22"/>
                <w:lang w:val="en-GB"/>
              </w:rPr>
            </w:pPr>
            <w:r w:rsidRPr="008E37A0">
              <w:rPr>
                <w:rFonts w:cs="Times New Roman"/>
                <w:sz w:val="22"/>
                <w:szCs w:val="22"/>
                <w:lang w:val="en-GB"/>
              </w:rPr>
              <w:t>Health</w:t>
            </w:r>
          </w:p>
        </w:tc>
      </w:tr>
      <w:tr w:rsidR="00AE21A5" w:rsidRPr="008E37A0" w14:paraId="48665B47" w14:textId="77777777" w:rsidTr="00431189">
        <w:trPr>
          <w:trHeight w:val="720"/>
        </w:trPr>
        <w:tc>
          <w:tcPr>
            <w:tcW w:w="11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843ED" w14:textId="68AD6A5D" w:rsidR="00AE21A5" w:rsidRPr="008E37A0" w:rsidRDefault="00DF7D72" w:rsidP="006F1484">
            <w:pPr>
              <w:pStyle w:val="Text1"/>
              <w:spacing w:before="60" w:after="0"/>
              <w:ind w:left="0"/>
              <w:jc w:val="left"/>
              <w:rPr>
                <w:rFonts w:cs="Times New Roman"/>
                <w:sz w:val="22"/>
                <w:szCs w:val="22"/>
                <w:lang w:val="en-GB"/>
              </w:rPr>
            </w:pPr>
            <w:r w:rsidRPr="008E37A0">
              <w:rPr>
                <w:rFonts w:cs="Times New Roman"/>
                <w:b/>
                <w:bCs/>
                <w:sz w:val="22"/>
                <w:szCs w:val="22"/>
                <w:lang w:val="en-GB"/>
              </w:rPr>
              <w:t>Amounts concerned</w:t>
            </w:r>
          </w:p>
        </w:tc>
        <w:tc>
          <w:tcPr>
            <w:tcW w:w="3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2B396" w14:textId="499427AB" w:rsidR="00AE21A5" w:rsidRPr="008E37A0" w:rsidRDefault="00DF7D72" w:rsidP="006F1484">
            <w:pPr>
              <w:pStyle w:val="Corpo"/>
              <w:spacing w:before="120"/>
              <w:jc w:val="both"/>
              <w:rPr>
                <w:sz w:val="22"/>
                <w:szCs w:val="22"/>
              </w:rPr>
            </w:pPr>
            <w:r w:rsidRPr="008E37A0">
              <w:rPr>
                <w:sz w:val="22"/>
                <w:szCs w:val="22"/>
              </w:rPr>
              <w:t xml:space="preserve">Total estimated cost: EUR </w:t>
            </w:r>
            <w:r w:rsidR="00C86471" w:rsidRPr="008E37A0">
              <w:rPr>
                <w:sz w:val="22"/>
                <w:szCs w:val="22"/>
              </w:rPr>
              <w:t>…</w:t>
            </w:r>
            <w:r w:rsidRPr="008E37A0">
              <w:rPr>
                <w:sz w:val="22"/>
                <w:szCs w:val="22"/>
              </w:rPr>
              <w:t>M</w:t>
            </w:r>
          </w:p>
          <w:p w14:paraId="35CB895B" w14:textId="0558498E" w:rsidR="00AE21A5" w:rsidRPr="008E37A0" w:rsidRDefault="00DF7D72" w:rsidP="006F1484">
            <w:pPr>
              <w:pStyle w:val="Corpo"/>
              <w:spacing w:before="120"/>
              <w:jc w:val="both"/>
              <w:rPr>
                <w:sz w:val="22"/>
                <w:szCs w:val="22"/>
              </w:rPr>
            </w:pPr>
            <w:r w:rsidRPr="008E37A0">
              <w:rPr>
                <w:sz w:val="22"/>
                <w:szCs w:val="22"/>
              </w:rPr>
              <w:t xml:space="preserve">Total amount of EU budget contribution: EUR </w:t>
            </w:r>
            <w:r w:rsidR="00C86471" w:rsidRPr="008E37A0">
              <w:rPr>
                <w:sz w:val="22"/>
                <w:szCs w:val="22"/>
              </w:rPr>
              <w:t>…</w:t>
            </w:r>
            <w:r w:rsidRPr="008E37A0">
              <w:rPr>
                <w:sz w:val="22"/>
                <w:szCs w:val="22"/>
              </w:rPr>
              <w:t>M</w:t>
            </w:r>
          </w:p>
          <w:p w14:paraId="64706F2F" w14:textId="7DDBFCC0" w:rsidR="00C20F83" w:rsidRPr="008E37A0" w:rsidRDefault="00C20F83" w:rsidP="006F1484">
            <w:pPr>
              <w:pStyle w:val="Corpo"/>
              <w:spacing w:before="120"/>
              <w:jc w:val="both"/>
              <w:rPr>
                <w:sz w:val="22"/>
                <w:szCs w:val="22"/>
              </w:rPr>
            </w:pPr>
            <w:r w:rsidRPr="008E37A0">
              <w:rPr>
                <w:sz w:val="22"/>
                <w:szCs w:val="22"/>
              </w:rPr>
              <w:t xml:space="preserve">This action is co-financed by </w:t>
            </w:r>
            <w:r w:rsidR="007057F5" w:rsidRPr="008E37A0">
              <w:rPr>
                <w:sz w:val="22"/>
                <w:szCs w:val="22"/>
              </w:rPr>
              <w:t>…</w:t>
            </w:r>
            <w:r w:rsidR="00A87210" w:rsidRPr="008E37A0">
              <w:rPr>
                <w:sz w:val="22"/>
                <w:szCs w:val="22"/>
              </w:rPr>
              <w:t xml:space="preserve"> for an amount of EUR </w:t>
            </w:r>
            <w:r w:rsidR="00C86471" w:rsidRPr="008E37A0">
              <w:rPr>
                <w:sz w:val="22"/>
                <w:szCs w:val="22"/>
              </w:rPr>
              <w:t>…</w:t>
            </w:r>
            <w:r w:rsidR="00EE0687" w:rsidRPr="008E37A0">
              <w:rPr>
                <w:sz w:val="22"/>
                <w:szCs w:val="22"/>
              </w:rPr>
              <w:t>M</w:t>
            </w:r>
          </w:p>
        </w:tc>
      </w:tr>
      <w:tr w:rsidR="00AE21A5" w:rsidRPr="008E37A0" w14:paraId="5CA4EC7A" w14:textId="77777777" w:rsidTr="006973C5">
        <w:trPr>
          <w:trHeight w:val="865"/>
        </w:trPr>
        <w:tc>
          <w:tcPr>
            <w:tcW w:w="11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771FE" w14:textId="06E0B789" w:rsidR="00AE21A5" w:rsidRPr="008E37A0" w:rsidRDefault="00DF7D72" w:rsidP="007057F5">
            <w:pPr>
              <w:pStyle w:val="Text1"/>
              <w:spacing w:before="0" w:after="0"/>
              <w:ind w:left="0"/>
              <w:jc w:val="left"/>
              <w:rPr>
                <w:rFonts w:cs="Times New Roman"/>
                <w:sz w:val="22"/>
                <w:szCs w:val="22"/>
                <w:lang w:val="en-GB"/>
              </w:rPr>
            </w:pPr>
            <w:r w:rsidRPr="008E37A0">
              <w:rPr>
                <w:rFonts w:cs="Times New Roman"/>
                <w:b/>
                <w:bCs/>
                <w:sz w:val="22"/>
                <w:szCs w:val="22"/>
                <w:lang w:val="en-GB"/>
              </w:rPr>
              <w:t>Aid modality</w:t>
            </w:r>
            <w:r w:rsidR="007057F5" w:rsidRPr="008E37A0">
              <w:rPr>
                <w:rFonts w:cs="Times New Roman"/>
                <w:b/>
                <w:bCs/>
                <w:sz w:val="22"/>
                <w:szCs w:val="22"/>
                <w:lang w:val="en-GB"/>
              </w:rPr>
              <w:t xml:space="preserve"> </w:t>
            </w:r>
            <w:r w:rsidRPr="008E37A0">
              <w:rPr>
                <w:rFonts w:cs="Times New Roman"/>
                <w:b/>
                <w:bCs/>
                <w:sz w:val="22"/>
                <w:szCs w:val="22"/>
                <w:lang w:val="en-GB"/>
              </w:rPr>
              <w:t>and implementation modality</w:t>
            </w:r>
          </w:p>
        </w:tc>
        <w:tc>
          <w:tcPr>
            <w:tcW w:w="3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430E6" w14:textId="6C2799C4" w:rsidR="00AE21A5" w:rsidRPr="008E37A0" w:rsidRDefault="00DF7D72" w:rsidP="007057F5">
            <w:pPr>
              <w:pStyle w:val="Text1"/>
              <w:spacing w:before="60" w:after="0"/>
              <w:ind w:left="0"/>
              <w:jc w:val="left"/>
              <w:rPr>
                <w:rFonts w:cs="Times New Roman"/>
                <w:sz w:val="22"/>
                <w:szCs w:val="22"/>
                <w:lang w:val="en-GB"/>
              </w:rPr>
            </w:pPr>
            <w:r w:rsidRPr="008E37A0">
              <w:rPr>
                <w:rFonts w:cs="Times New Roman"/>
                <w:sz w:val="22"/>
                <w:szCs w:val="22"/>
                <w:lang w:val="en-GB"/>
              </w:rPr>
              <w:t>Project Modality</w:t>
            </w:r>
            <w:r w:rsidR="007057F5" w:rsidRPr="008E37A0">
              <w:rPr>
                <w:rFonts w:cs="Times New Roman"/>
                <w:sz w:val="22"/>
                <w:szCs w:val="22"/>
                <w:lang w:val="en-GB"/>
              </w:rPr>
              <w:t xml:space="preserve"> / </w:t>
            </w:r>
            <w:r w:rsidRPr="008E37A0">
              <w:rPr>
                <w:rFonts w:cs="Times New Roman"/>
                <w:sz w:val="22"/>
                <w:szCs w:val="22"/>
                <w:lang w:val="en-GB"/>
              </w:rPr>
              <w:t>Indirect management with International Organization</w:t>
            </w:r>
            <w:r w:rsidR="006973C5" w:rsidRPr="008E37A0">
              <w:rPr>
                <w:rFonts w:cs="Times New Roman"/>
                <w:sz w:val="22"/>
                <w:szCs w:val="22"/>
                <w:lang w:val="en-GB"/>
              </w:rPr>
              <w:t xml:space="preserve"> and EU Member State Organizations</w:t>
            </w:r>
          </w:p>
        </w:tc>
      </w:tr>
    </w:tbl>
    <w:p w14:paraId="79D9CB32" w14:textId="409B9262" w:rsidR="00AE21A5" w:rsidRPr="008E37A0" w:rsidRDefault="00DF7D72" w:rsidP="00D54AF1">
      <w:pPr>
        <w:pStyle w:val="Intestazione"/>
        <w:numPr>
          <w:ilvl w:val="0"/>
          <w:numId w:val="2"/>
        </w:numPr>
        <w:rPr>
          <w:rStyle w:val="Nessuno"/>
        </w:rPr>
      </w:pPr>
      <w:r w:rsidRPr="008E37A0">
        <w:rPr>
          <w:rStyle w:val="Nessuno"/>
          <w:rFonts w:eastAsia="Arial Unicode MS"/>
        </w:rPr>
        <w:t xml:space="preserve">Context analysis </w:t>
      </w:r>
    </w:p>
    <w:p w14:paraId="33552FBB" w14:textId="7D8A1C5A" w:rsidR="00AE21A5" w:rsidRPr="008E37A0" w:rsidRDefault="00DF7D72" w:rsidP="00D54AF1">
      <w:pPr>
        <w:pStyle w:val="Intestazione2"/>
        <w:tabs>
          <w:tab w:val="clear" w:pos="360"/>
        </w:tabs>
        <w:rPr>
          <w:lang w:val="en-GB"/>
        </w:rPr>
      </w:pPr>
      <w:r w:rsidRPr="008E37A0">
        <w:rPr>
          <w:lang w:val="en-GB"/>
        </w:rPr>
        <w:t>1.1</w:t>
      </w:r>
      <w:r w:rsidRPr="008E37A0">
        <w:rPr>
          <w:lang w:val="en-GB"/>
        </w:rPr>
        <w:tab/>
        <w:t>Context Description</w:t>
      </w:r>
    </w:p>
    <w:p w14:paraId="1A1F1C2C" w14:textId="3D771C8E" w:rsidR="00071BE0" w:rsidRPr="008E37A0" w:rsidRDefault="00071BE0" w:rsidP="00071BE0">
      <w:pPr>
        <w:pStyle w:val="Corpo"/>
        <w:spacing w:after="120"/>
        <w:jc w:val="both"/>
        <w:rPr>
          <w:sz w:val="22"/>
          <w:szCs w:val="22"/>
        </w:rPr>
      </w:pPr>
      <w:r w:rsidRPr="008E37A0">
        <w:rPr>
          <w:sz w:val="22"/>
          <w:szCs w:val="22"/>
        </w:rPr>
        <w:t xml:space="preserve">Georgia’s health system has been evolving since the country’s independence from the Soviet Union in 1991. The system was highly decentralized and extensively privatized under reforms implemented between 2007 and 2012. The health sector was deregulated and most Government spending on health was </w:t>
      </w:r>
      <w:r w:rsidR="008E37A0" w:rsidRPr="008E37A0">
        <w:rPr>
          <w:sz w:val="22"/>
          <w:szCs w:val="22"/>
        </w:rPr>
        <w:t>channelled</w:t>
      </w:r>
      <w:r w:rsidRPr="008E37A0">
        <w:rPr>
          <w:sz w:val="22"/>
          <w:szCs w:val="22"/>
        </w:rPr>
        <w:t xml:space="preserve"> through private insurance companies which covered services only for target groups such as people living under the poverty line, internally displaced populations, the military, children under five and older people; only about one third of the total population. The other two thirds of the population had access to very limited services through vertical programmes, had to buy private health insurance or had to pay for any service out-of-pocket when they used it. This had an impact on patients, whose out-of-pocket payments </w:t>
      </w:r>
      <w:r w:rsidR="00922BF1" w:rsidRPr="008E37A0">
        <w:rPr>
          <w:sz w:val="22"/>
          <w:szCs w:val="22"/>
        </w:rPr>
        <w:t>(</w:t>
      </w:r>
      <w:r w:rsidR="00922BF1" w:rsidRPr="00A12BDE">
        <w:rPr>
          <w:sz w:val="22"/>
          <w:szCs w:val="22"/>
        </w:rPr>
        <w:t>OOP</w:t>
      </w:r>
      <w:r w:rsidR="00922BF1" w:rsidRPr="008E37A0">
        <w:rPr>
          <w:sz w:val="22"/>
          <w:szCs w:val="22"/>
        </w:rPr>
        <w:t xml:space="preserve">) </w:t>
      </w:r>
      <w:r w:rsidRPr="008E37A0">
        <w:rPr>
          <w:sz w:val="22"/>
          <w:szCs w:val="22"/>
        </w:rPr>
        <w:t xml:space="preserve">for health services were very high, leading to financial hardship for many people. It provided the rationale for the political decision to move towards universal health coverage. </w:t>
      </w:r>
    </w:p>
    <w:p w14:paraId="541BA2EA" w14:textId="77777777" w:rsidR="00D60662" w:rsidRPr="008E37A0" w:rsidRDefault="00D60662" w:rsidP="00D60662">
      <w:pPr>
        <w:pStyle w:val="Corpo"/>
        <w:spacing w:before="120" w:after="120"/>
        <w:jc w:val="both"/>
        <w:rPr>
          <w:sz w:val="22"/>
          <w:szCs w:val="22"/>
        </w:rPr>
      </w:pPr>
      <w:r w:rsidRPr="008E37A0">
        <w:rPr>
          <w:sz w:val="22"/>
          <w:szCs w:val="22"/>
        </w:rPr>
        <w:t>Universal Health Coverage (</w:t>
      </w:r>
      <w:r w:rsidRPr="00A12BDE">
        <w:rPr>
          <w:sz w:val="22"/>
          <w:szCs w:val="22"/>
        </w:rPr>
        <w:t>UHC</w:t>
      </w:r>
      <w:r w:rsidRPr="008E37A0">
        <w:rPr>
          <w:sz w:val="22"/>
          <w:szCs w:val="22"/>
        </w:rPr>
        <w:t xml:space="preserve">) is the major Global Health priority and means that all people have access to health services they need without the risk of financial hardship when paying for them. This requires an efficient health system that provides the entire population with access to high quality services, health workers, medicines and technologies. It also requires a financing system to protect people from financial hardship and impoverishment from health care costs. </w:t>
      </w:r>
    </w:p>
    <w:p w14:paraId="36887690" w14:textId="3E7D7A4E" w:rsidR="00071BE0" w:rsidRPr="008E37A0" w:rsidRDefault="00071BE0" w:rsidP="00071BE0">
      <w:pPr>
        <w:pStyle w:val="Corpo"/>
        <w:spacing w:after="120"/>
        <w:jc w:val="both"/>
        <w:rPr>
          <w:sz w:val="22"/>
          <w:szCs w:val="22"/>
        </w:rPr>
      </w:pPr>
      <w:r w:rsidRPr="008E37A0">
        <w:rPr>
          <w:sz w:val="22"/>
          <w:szCs w:val="22"/>
        </w:rPr>
        <w:lastRenderedPageBreak/>
        <w:t>In 2013, the Georgian Government introduced the Universal Health Care Programme</w:t>
      </w:r>
      <w:r w:rsidRPr="008E37A0">
        <w:rPr>
          <w:rStyle w:val="Lbjegyzet-hivatkozs"/>
          <w:sz w:val="22"/>
          <w:szCs w:val="22"/>
        </w:rPr>
        <w:footnoteReference w:id="2"/>
      </w:r>
      <w:r w:rsidRPr="008E37A0">
        <w:rPr>
          <w:sz w:val="22"/>
          <w:szCs w:val="22"/>
        </w:rPr>
        <w:t xml:space="preserve">, which led to unprecedented expansion in health service coverage. Nearly the entire population was entitled to publicly financed health care. It was all made possible by a substantial and essential increase in public funding for the health system that was </w:t>
      </w:r>
      <w:r w:rsidR="008E37A0" w:rsidRPr="008E37A0">
        <w:rPr>
          <w:sz w:val="22"/>
          <w:szCs w:val="22"/>
        </w:rPr>
        <w:t>channelled</w:t>
      </w:r>
      <w:r w:rsidRPr="008E37A0">
        <w:rPr>
          <w:sz w:val="22"/>
          <w:szCs w:val="22"/>
        </w:rPr>
        <w:t xml:space="preserve"> through a single purchasing agency, the Social Service</w:t>
      </w:r>
      <w:r w:rsidR="007E11FB" w:rsidRPr="008E37A0">
        <w:rPr>
          <w:sz w:val="22"/>
          <w:szCs w:val="22"/>
        </w:rPr>
        <w:t>s</w:t>
      </w:r>
      <w:r w:rsidRPr="008E37A0">
        <w:rPr>
          <w:sz w:val="22"/>
          <w:szCs w:val="22"/>
        </w:rPr>
        <w:t xml:space="preserve"> Agency</w:t>
      </w:r>
      <w:r w:rsidR="007E11FB" w:rsidRPr="008E37A0">
        <w:rPr>
          <w:sz w:val="22"/>
          <w:szCs w:val="22"/>
        </w:rPr>
        <w:t xml:space="preserve"> (</w:t>
      </w:r>
      <w:r w:rsidR="007E11FB" w:rsidRPr="00A12BDE">
        <w:rPr>
          <w:sz w:val="22"/>
          <w:szCs w:val="22"/>
        </w:rPr>
        <w:t>SSA</w:t>
      </w:r>
      <w:r w:rsidR="007E11FB" w:rsidRPr="008E37A0">
        <w:rPr>
          <w:sz w:val="22"/>
          <w:szCs w:val="22"/>
        </w:rPr>
        <w:t>)</w:t>
      </w:r>
      <w:r w:rsidRPr="008E37A0">
        <w:rPr>
          <w:sz w:val="22"/>
          <w:szCs w:val="22"/>
        </w:rPr>
        <w:t xml:space="preserve">. </w:t>
      </w:r>
    </w:p>
    <w:p w14:paraId="731A6D99" w14:textId="0DBFCFAC" w:rsidR="00F13A7F" w:rsidRPr="008E37A0" w:rsidRDefault="00F13A7F" w:rsidP="00F13A7F">
      <w:pPr>
        <w:pStyle w:val="Corpo"/>
        <w:spacing w:after="120"/>
        <w:jc w:val="both"/>
        <w:rPr>
          <w:sz w:val="22"/>
          <w:szCs w:val="22"/>
        </w:rPr>
      </w:pPr>
      <w:r w:rsidRPr="008E37A0">
        <w:rPr>
          <w:sz w:val="22"/>
          <w:szCs w:val="22"/>
        </w:rPr>
        <w:t>The main objective of the introduction of UHC was t</w:t>
      </w:r>
      <w:r w:rsidR="00223780" w:rsidRPr="008E37A0">
        <w:rPr>
          <w:sz w:val="22"/>
          <w:szCs w:val="22"/>
        </w:rPr>
        <w:t xml:space="preserve">o </w:t>
      </w:r>
      <w:r w:rsidRPr="008E37A0">
        <w:rPr>
          <w:sz w:val="22"/>
          <w:szCs w:val="22"/>
        </w:rPr>
        <w:t>ensure that all people can access the health services they need but must be protected from being pushed into poverty because of the cost of health care as set out in the Sustainable Development Goals</w:t>
      </w:r>
      <w:r w:rsidR="007E11FB" w:rsidRPr="008E37A0">
        <w:rPr>
          <w:sz w:val="22"/>
          <w:szCs w:val="22"/>
        </w:rPr>
        <w:t xml:space="preserve"> (</w:t>
      </w:r>
      <w:r w:rsidR="007E11FB" w:rsidRPr="00A12BDE">
        <w:rPr>
          <w:sz w:val="22"/>
          <w:szCs w:val="22"/>
        </w:rPr>
        <w:t>SDG</w:t>
      </w:r>
      <w:r w:rsidR="007E11FB" w:rsidRPr="008E37A0">
        <w:rPr>
          <w:sz w:val="22"/>
          <w:szCs w:val="22"/>
        </w:rPr>
        <w:t>)</w:t>
      </w:r>
      <w:r w:rsidR="00FE16A8" w:rsidRPr="008E37A0">
        <w:rPr>
          <w:rStyle w:val="Lbjegyzet-hivatkozs"/>
          <w:sz w:val="22"/>
          <w:szCs w:val="22"/>
        </w:rPr>
        <w:footnoteReference w:id="3"/>
      </w:r>
      <w:r w:rsidRPr="008E37A0">
        <w:rPr>
          <w:sz w:val="22"/>
          <w:szCs w:val="22"/>
        </w:rPr>
        <w:t>.</w:t>
      </w:r>
    </w:p>
    <w:p w14:paraId="57EB68C6" w14:textId="135DDB9D" w:rsidR="00F13A7F" w:rsidRPr="008E37A0" w:rsidRDefault="00F13A7F" w:rsidP="00F13A7F">
      <w:pPr>
        <w:pStyle w:val="Corpo"/>
        <w:spacing w:after="120"/>
        <w:rPr>
          <w:sz w:val="22"/>
          <w:szCs w:val="22"/>
        </w:rPr>
      </w:pPr>
      <w:r w:rsidRPr="008E37A0">
        <w:rPr>
          <w:sz w:val="22"/>
          <w:szCs w:val="22"/>
        </w:rPr>
        <w:t>To achieve this, it requires the support of:</w:t>
      </w:r>
    </w:p>
    <w:p w14:paraId="7D1F6298" w14:textId="0896A711" w:rsidR="00F13A7F" w:rsidRPr="008E37A0" w:rsidRDefault="00F13A7F" w:rsidP="00B76ECC">
      <w:pPr>
        <w:pStyle w:val="Corpo"/>
        <w:numPr>
          <w:ilvl w:val="0"/>
          <w:numId w:val="22"/>
        </w:numPr>
        <w:spacing w:after="120"/>
        <w:rPr>
          <w:sz w:val="22"/>
          <w:szCs w:val="22"/>
        </w:rPr>
      </w:pPr>
      <w:r w:rsidRPr="008E37A0">
        <w:rPr>
          <w:sz w:val="22"/>
          <w:szCs w:val="22"/>
        </w:rPr>
        <w:t xml:space="preserve">a strong, efficient, well-run health system; </w:t>
      </w:r>
    </w:p>
    <w:p w14:paraId="38166C49" w14:textId="77777777" w:rsidR="00F13A7F" w:rsidRPr="008E37A0" w:rsidRDefault="00F13A7F" w:rsidP="00B76ECC">
      <w:pPr>
        <w:pStyle w:val="Corpo"/>
        <w:numPr>
          <w:ilvl w:val="0"/>
          <w:numId w:val="22"/>
        </w:numPr>
        <w:spacing w:after="120"/>
        <w:rPr>
          <w:sz w:val="22"/>
          <w:szCs w:val="22"/>
        </w:rPr>
      </w:pPr>
      <w:r w:rsidRPr="008E37A0">
        <w:rPr>
          <w:sz w:val="22"/>
          <w:szCs w:val="22"/>
        </w:rPr>
        <w:t>a system for financing health services in term of affordability;</w:t>
      </w:r>
    </w:p>
    <w:p w14:paraId="4F450B27" w14:textId="77777777" w:rsidR="00F13A7F" w:rsidRPr="008E37A0" w:rsidRDefault="00F13A7F" w:rsidP="00B76ECC">
      <w:pPr>
        <w:pStyle w:val="Corpo"/>
        <w:numPr>
          <w:ilvl w:val="0"/>
          <w:numId w:val="22"/>
        </w:numPr>
        <w:spacing w:after="120"/>
        <w:rPr>
          <w:sz w:val="22"/>
          <w:szCs w:val="22"/>
        </w:rPr>
      </w:pPr>
      <w:r w:rsidRPr="008E37A0">
        <w:rPr>
          <w:sz w:val="22"/>
          <w:szCs w:val="22"/>
        </w:rPr>
        <w:t>access to essential medicines and technologies;</w:t>
      </w:r>
    </w:p>
    <w:p w14:paraId="26C9C0D2" w14:textId="77777777" w:rsidR="00F13A7F" w:rsidRPr="008E37A0" w:rsidRDefault="00F13A7F" w:rsidP="00B76ECC">
      <w:pPr>
        <w:pStyle w:val="Corpo"/>
        <w:numPr>
          <w:ilvl w:val="0"/>
          <w:numId w:val="22"/>
        </w:numPr>
        <w:spacing w:after="120"/>
        <w:rPr>
          <w:sz w:val="22"/>
          <w:szCs w:val="22"/>
        </w:rPr>
      </w:pPr>
      <w:r w:rsidRPr="008E37A0">
        <w:rPr>
          <w:sz w:val="22"/>
          <w:szCs w:val="22"/>
        </w:rPr>
        <w:t>a sufficient capacity of well-trained, motivated health workers to provide the service.</w:t>
      </w:r>
    </w:p>
    <w:p w14:paraId="30664860" w14:textId="77777777" w:rsidR="00F13A7F" w:rsidRPr="008E37A0" w:rsidRDefault="00F13A7F" w:rsidP="00F13A7F">
      <w:pPr>
        <w:pStyle w:val="Corpo"/>
        <w:spacing w:after="120"/>
        <w:rPr>
          <w:sz w:val="22"/>
          <w:szCs w:val="22"/>
        </w:rPr>
      </w:pPr>
      <w:r w:rsidRPr="008E37A0">
        <w:rPr>
          <w:sz w:val="22"/>
          <w:szCs w:val="22"/>
        </w:rPr>
        <w:t>Universal health coverage embodies three key objectives:</w:t>
      </w:r>
    </w:p>
    <w:p w14:paraId="5EF35B6C" w14:textId="77777777" w:rsidR="00F13A7F" w:rsidRPr="008E37A0" w:rsidRDefault="00F13A7F" w:rsidP="00B76ECC">
      <w:pPr>
        <w:pStyle w:val="Corpo"/>
        <w:numPr>
          <w:ilvl w:val="0"/>
          <w:numId w:val="23"/>
        </w:numPr>
        <w:spacing w:after="120"/>
        <w:jc w:val="both"/>
        <w:rPr>
          <w:sz w:val="22"/>
          <w:szCs w:val="22"/>
        </w:rPr>
      </w:pPr>
      <w:r w:rsidRPr="008E37A0">
        <w:rPr>
          <w:sz w:val="22"/>
          <w:szCs w:val="22"/>
        </w:rPr>
        <w:t>equity in access to health services – those who need the services should get them, not only those who can afford to pay for the services;</w:t>
      </w:r>
    </w:p>
    <w:p w14:paraId="39072231" w14:textId="77777777" w:rsidR="00F13A7F" w:rsidRPr="008E37A0" w:rsidRDefault="00F13A7F" w:rsidP="00B76ECC">
      <w:pPr>
        <w:pStyle w:val="Corpo"/>
        <w:numPr>
          <w:ilvl w:val="0"/>
          <w:numId w:val="23"/>
        </w:numPr>
        <w:spacing w:after="120"/>
        <w:jc w:val="both"/>
        <w:rPr>
          <w:sz w:val="22"/>
          <w:szCs w:val="22"/>
        </w:rPr>
      </w:pPr>
      <w:r w:rsidRPr="008E37A0">
        <w:rPr>
          <w:sz w:val="22"/>
          <w:szCs w:val="22"/>
        </w:rPr>
        <w:t>quality of health services is good enough to improve the health of those receiving services; and</w:t>
      </w:r>
    </w:p>
    <w:p w14:paraId="61B7711D" w14:textId="77777777" w:rsidR="00F13A7F" w:rsidRPr="008E37A0" w:rsidRDefault="00F13A7F" w:rsidP="00B76ECC">
      <w:pPr>
        <w:pStyle w:val="Corpo"/>
        <w:numPr>
          <w:ilvl w:val="0"/>
          <w:numId w:val="23"/>
        </w:numPr>
        <w:spacing w:after="120"/>
        <w:jc w:val="both"/>
        <w:rPr>
          <w:sz w:val="22"/>
          <w:szCs w:val="22"/>
        </w:rPr>
      </w:pPr>
      <w:r w:rsidRPr="008E37A0">
        <w:rPr>
          <w:sz w:val="22"/>
          <w:szCs w:val="22"/>
        </w:rPr>
        <w:t>financial risk protection by ensuring that the cost of using the health care does not put people at risk of financial hardships.</w:t>
      </w:r>
    </w:p>
    <w:p w14:paraId="7706D757" w14:textId="77777777" w:rsidR="00F13A7F" w:rsidRPr="008E37A0" w:rsidRDefault="00F13A7F" w:rsidP="00071BE0">
      <w:pPr>
        <w:pStyle w:val="Corpo"/>
        <w:spacing w:after="120"/>
        <w:jc w:val="both"/>
        <w:rPr>
          <w:sz w:val="22"/>
          <w:szCs w:val="22"/>
        </w:rPr>
      </w:pPr>
      <w:r w:rsidRPr="008E37A0">
        <w:rPr>
          <w:sz w:val="22"/>
          <w:szCs w:val="22"/>
        </w:rPr>
        <w:t>The full spectrum of essential, quality health services to be covered includes health promotion, prevention and treatment, rehabilitation and palliative care.</w:t>
      </w:r>
    </w:p>
    <w:p w14:paraId="7439B214" w14:textId="749DE91B" w:rsidR="00F13A7F" w:rsidRPr="008E37A0" w:rsidRDefault="002C25B7" w:rsidP="00D54AF1">
      <w:pPr>
        <w:pStyle w:val="Corpo"/>
        <w:spacing w:after="120"/>
        <w:jc w:val="both"/>
        <w:rPr>
          <w:sz w:val="22"/>
          <w:szCs w:val="22"/>
        </w:rPr>
      </w:pPr>
      <w:r w:rsidRPr="00A12BDE">
        <w:rPr>
          <w:sz w:val="22"/>
          <w:szCs w:val="22"/>
        </w:rPr>
        <w:t>T</w:t>
      </w:r>
      <w:r w:rsidR="00F90459" w:rsidRPr="00A12BDE">
        <w:rPr>
          <w:sz w:val="22"/>
          <w:szCs w:val="22"/>
        </w:rPr>
        <w:t>he Ministry of Internally Displaced Persons from the Occupied Territories, Labour, Health and Social Affairs of Georgia (MoIDPLHSA) and the Legal Entity of Public Law (LEPL) Social Services Agency worked closely with the</w:t>
      </w:r>
      <w:r w:rsidR="00922BF1" w:rsidRPr="00A12BDE">
        <w:rPr>
          <w:sz w:val="22"/>
          <w:szCs w:val="22"/>
        </w:rPr>
        <w:t xml:space="preserve"> World Health Organization (</w:t>
      </w:r>
      <w:r w:rsidR="00F90459" w:rsidRPr="00A12BDE">
        <w:rPr>
          <w:sz w:val="22"/>
          <w:szCs w:val="22"/>
        </w:rPr>
        <w:t>WHO</w:t>
      </w:r>
      <w:r w:rsidR="00922BF1" w:rsidRPr="00A12BDE">
        <w:rPr>
          <w:sz w:val="22"/>
          <w:szCs w:val="22"/>
        </w:rPr>
        <w:t>)</w:t>
      </w:r>
      <w:r w:rsidR="00F90459" w:rsidRPr="00A12BDE">
        <w:rPr>
          <w:sz w:val="22"/>
          <w:szCs w:val="22"/>
        </w:rPr>
        <w:t xml:space="preserve"> Regional Office for Europe to improve the purchasing and payment system of health service providers. The MoIDPLHSA is focusing on strategic purchasing by the SSA to obtain better value for money. This helps to create a more efficient and transparent financing system, essential for quality of care and moving towards universal health coverage.</w:t>
      </w:r>
      <w:r w:rsidR="00F90459" w:rsidRPr="008E37A0">
        <w:rPr>
          <w:sz w:val="22"/>
          <w:szCs w:val="22"/>
        </w:rPr>
        <w:t xml:space="preserve"> </w:t>
      </w:r>
    </w:p>
    <w:p w14:paraId="4F3FC00B" w14:textId="144F51A7" w:rsidR="00EC4F19" w:rsidRPr="008E37A0" w:rsidRDefault="00F90459" w:rsidP="00D54AF1">
      <w:pPr>
        <w:pStyle w:val="Corpo"/>
        <w:spacing w:after="120"/>
        <w:jc w:val="both"/>
        <w:rPr>
          <w:sz w:val="22"/>
          <w:szCs w:val="22"/>
        </w:rPr>
      </w:pPr>
      <w:r w:rsidRPr="008E37A0">
        <w:rPr>
          <w:sz w:val="22"/>
          <w:szCs w:val="22"/>
        </w:rPr>
        <w:t>Georgia’s Universal Health C</w:t>
      </w:r>
      <w:r w:rsidR="00922BF1" w:rsidRPr="008E37A0">
        <w:rPr>
          <w:sz w:val="22"/>
          <w:szCs w:val="22"/>
        </w:rPr>
        <w:t>are</w:t>
      </w:r>
      <w:r w:rsidRPr="008E37A0">
        <w:rPr>
          <w:sz w:val="22"/>
          <w:szCs w:val="22"/>
        </w:rPr>
        <w:t xml:space="preserve"> Programme is making good progress towards its goals of universal access to health services without financial hardship. Evidence shows that the use of health services has increased, financial barriers which prevent people from accessing services have been reduced, and financial protection for households has improved for services targeted by the Programme. On average, there were 3.6 outpatient visits per capita per year in 2017 compared to just 2.3 in 2012, and hospitalization rates have seen a steady increase from 11.3 per capita in 2012 to 14.2 per capita in 2017. Out-of-pocket spending of total health expenditures has declined from 73% in 2012 to 54% in 2017. A survey conducted by the US Agency for International Development </w:t>
      </w:r>
      <w:r w:rsidR="00922BF1" w:rsidRPr="008E37A0">
        <w:rPr>
          <w:sz w:val="22"/>
          <w:szCs w:val="22"/>
        </w:rPr>
        <w:t>(</w:t>
      </w:r>
      <w:r w:rsidR="00922BF1" w:rsidRPr="00A12BDE">
        <w:rPr>
          <w:sz w:val="22"/>
          <w:szCs w:val="22"/>
        </w:rPr>
        <w:t>USAID</w:t>
      </w:r>
      <w:r w:rsidR="00922BF1" w:rsidRPr="008E37A0">
        <w:rPr>
          <w:sz w:val="22"/>
          <w:szCs w:val="22"/>
        </w:rPr>
        <w:t xml:space="preserve">) </w:t>
      </w:r>
      <w:r w:rsidRPr="008E37A0">
        <w:rPr>
          <w:sz w:val="22"/>
          <w:szCs w:val="22"/>
        </w:rPr>
        <w:t xml:space="preserve">in 2014 showed that 80.3% of surveyed beneficiaries were satisfied with their outpatient service and 96.4% expressed satisfaction with hospital level emergency care within the Universal Health Care Programme. The most </w:t>
      </w:r>
      <w:r w:rsidRPr="008E37A0">
        <w:rPr>
          <w:sz w:val="22"/>
          <w:szCs w:val="22"/>
        </w:rPr>
        <w:lastRenderedPageBreak/>
        <w:t>recent household survey conducted in 2017 also revealed positive trends in use of health services and reduction of out-of-pocket expenditures</w:t>
      </w:r>
      <w:r w:rsidR="00071BE0" w:rsidRPr="008E37A0">
        <w:rPr>
          <w:rStyle w:val="Lbjegyzet-hivatkozs"/>
        </w:rPr>
        <w:footnoteReference w:id="4"/>
      </w:r>
      <w:r w:rsidRPr="008E37A0">
        <w:rPr>
          <w:sz w:val="22"/>
          <w:szCs w:val="22"/>
        </w:rPr>
        <w:t xml:space="preserve">. </w:t>
      </w:r>
    </w:p>
    <w:p w14:paraId="4C4F6D7C" w14:textId="37481176" w:rsidR="00AE21A5" w:rsidRPr="008E37A0" w:rsidRDefault="00DF7D72" w:rsidP="00D54AF1">
      <w:pPr>
        <w:pStyle w:val="Intestazione2"/>
        <w:tabs>
          <w:tab w:val="clear" w:pos="360"/>
        </w:tabs>
        <w:rPr>
          <w:lang w:val="en-GB"/>
        </w:rPr>
      </w:pPr>
      <w:r w:rsidRPr="008E37A0">
        <w:rPr>
          <w:lang w:val="en-GB"/>
        </w:rPr>
        <w:t>1.2</w:t>
      </w:r>
      <w:r w:rsidRPr="008E37A0">
        <w:rPr>
          <w:lang w:val="en-GB"/>
        </w:rPr>
        <w:tab/>
        <w:t xml:space="preserve">Policy Framework </w:t>
      </w:r>
      <w:r w:rsidR="0075660D" w:rsidRPr="008E37A0">
        <w:rPr>
          <w:lang w:val="en-GB"/>
        </w:rPr>
        <w:t xml:space="preserve">in </w:t>
      </w:r>
      <w:r w:rsidR="00922BF1" w:rsidRPr="008E37A0">
        <w:rPr>
          <w:lang w:val="en-GB"/>
        </w:rPr>
        <w:t xml:space="preserve">the </w:t>
      </w:r>
      <w:r w:rsidRPr="008E37A0">
        <w:rPr>
          <w:lang w:val="en-GB"/>
        </w:rPr>
        <w:t>E</w:t>
      </w:r>
      <w:r w:rsidR="00922BF1" w:rsidRPr="008E37A0">
        <w:rPr>
          <w:lang w:val="en-GB"/>
        </w:rPr>
        <w:t xml:space="preserve">uropean </w:t>
      </w:r>
      <w:r w:rsidR="008E37A0" w:rsidRPr="008E37A0">
        <w:rPr>
          <w:lang w:val="en-GB"/>
        </w:rPr>
        <w:t>Union</w:t>
      </w:r>
    </w:p>
    <w:p w14:paraId="1E28136E" w14:textId="31FE8D1E" w:rsidR="00AE21A5" w:rsidRPr="008E37A0" w:rsidRDefault="00DF7D72" w:rsidP="00D54AF1">
      <w:pPr>
        <w:pStyle w:val="Corpo"/>
        <w:spacing w:after="120"/>
        <w:jc w:val="both"/>
        <w:rPr>
          <w:sz w:val="22"/>
          <w:szCs w:val="22"/>
        </w:rPr>
      </w:pPr>
      <w:r w:rsidRPr="00A12BDE">
        <w:rPr>
          <w:sz w:val="22"/>
          <w:szCs w:val="22"/>
        </w:rPr>
        <w:t xml:space="preserve">The Commission's communication </w:t>
      </w:r>
      <w:r w:rsidRPr="00A12BDE">
        <w:rPr>
          <w:i/>
          <w:iCs/>
          <w:sz w:val="22"/>
          <w:szCs w:val="22"/>
        </w:rPr>
        <w:t>The EU Role in Global Health</w:t>
      </w:r>
      <w:r w:rsidR="005C60C2" w:rsidRPr="00A12BDE">
        <w:rPr>
          <w:rStyle w:val="Lbjegyzet-hivatkozs"/>
          <w:i/>
          <w:iCs/>
          <w:sz w:val="22"/>
          <w:szCs w:val="22"/>
        </w:rPr>
        <w:footnoteReference w:id="5"/>
      </w:r>
      <w:r w:rsidRPr="00A12BDE">
        <w:rPr>
          <w:sz w:val="22"/>
          <w:szCs w:val="22"/>
        </w:rPr>
        <w:t xml:space="preserve"> affirmed E</w:t>
      </w:r>
      <w:r w:rsidR="00922BF1" w:rsidRPr="00A12BDE">
        <w:rPr>
          <w:sz w:val="22"/>
          <w:szCs w:val="22"/>
        </w:rPr>
        <w:t xml:space="preserve">uropean </w:t>
      </w:r>
      <w:r w:rsidRPr="00A12BDE">
        <w:rPr>
          <w:sz w:val="22"/>
          <w:szCs w:val="22"/>
        </w:rPr>
        <w:t>U</w:t>
      </w:r>
      <w:r w:rsidR="00922BF1" w:rsidRPr="00A12BDE">
        <w:rPr>
          <w:sz w:val="22"/>
          <w:szCs w:val="22"/>
        </w:rPr>
        <w:t>nion (EU)</w:t>
      </w:r>
      <w:r w:rsidRPr="00A12BDE">
        <w:rPr>
          <w:sz w:val="22"/>
          <w:szCs w:val="22"/>
        </w:rPr>
        <w:t xml:space="preserve"> Member States’ </w:t>
      </w:r>
      <w:r w:rsidR="00922BF1" w:rsidRPr="00A12BDE">
        <w:rPr>
          <w:sz w:val="22"/>
          <w:szCs w:val="22"/>
        </w:rPr>
        <w:t xml:space="preserve">(MS) </w:t>
      </w:r>
      <w:r w:rsidRPr="00A12BDE">
        <w:rPr>
          <w:sz w:val="22"/>
          <w:szCs w:val="22"/>
        </w:rPr>
        <w:t>commitment to achieving ‘equitable and universal coverage of quality health services’ and supporting countries to ‘put in place fair financing of health systems and develop or strengthen social protection mechanisms in the health sector’. More recently, the New European Consensus on Development</w:t>
      </w:r>
      <w:r w:rsidR="0061595B" w:rsidRPr="00A12BDE">
        <w:rPr>
          <w:rStyle w:val="Lbjegyzet-hivatkozs"/>
          <w:sz w:val="22"/>
          <w:szCs w:val="22"/>
        </w:rPr>
        <w:footnoteReference w:id="6"/>
      </w:r>
      <w:r w:rsidRPr="00A12BDE">
        <w:rPr>
          <w:sz w:val="22"/>
          <w:szCs w:val="22"/>
        </w:rPr>
        <w:t xml:space="preserve"> sets out the priorities of the EU development policy, reaffirming in its revised version that EU and its Member States will continue to support partner countries in their efforts to build strong, good-quality and resilient health systems, by providing equitable access to health services and universal health coverage, as well as continue promoting cross-sectoral initiatives at international, regional and local levels and will put the strengthening of horizontal health systems at the core of health development programming.</w:t>
      </w:r>
    </w:p>
    <w:p w14:paraId="3B354389" w14:textId="52004A2C" w:rsidR="00AE21A5" w:rsidRPr="008E37A0" w:rsidRDefault="00DF7D72" w:rsidP="00D54AF1">
      <w:pPr>
        <w:pStyle w:val="Intestazione2"/>
        <w:tabs>
          <w:tab w:val="clear" w:pos="360"/>
        </w:tabs>
        <w:rPr>
          <w:lang w:val="en-GB"/>
        </w:rPr>
      </w:pPr>
      <w:r w:rsidRPr="008E37A0">
        <w:rPr>
          <w:lang w:val="en-GB"/>
        </w:rPr>
        <w:t>1.3</w:t>
      </w:r>
      <w:r w:rsidRPr="008E37A0">
        <w:rPr>
          <w:lang w:val="en-GB"/>
        </w:rPr>
        <w:tab/>
        <w:t xml:space="preserve">Public Policy Analysis of the partner country </w:t>
      </w:r>
    </w:p>
    <w:p w14:paraId="39E8F8E6" w14:textId="0F72FD4F" w:rsidR="008E7096" w:rsidRPr="008E37A0" w:rsidRDefault="00F0061B" w:rsidP="00F0061B">
      <w:pPr>
        <w:pStyle w:val="Corpo"/>
        <w:spacing w:before="120" w:after="120"/>
        <w:jc w:val="both"/>
        <w:rPr>
          <w:b/>
          <w:bCs/>
          <w:sz w:val="22"/>
          <w:szCs w:val="22"/>
        </w:rPr>
      </w:pPr>
      <w:bookmarkStart w:id="1" w:name="_Hlk26620890"/>
      <w:r w:rsidRPr="00A12BDE">
        <w:rPr>
          <w:b/>
          <w:bCs/>
          <w:sz w:val="22"/>
          <w:szCs w:val="22"/>
        </w:rPr>
        <w:t xml:space="preserve">Health care </w:t>
      </w:r>
      <w:r w:rsidR="00BE0638" w:rsidRPr="00A12BDE">
        <w:rPr>
          <w:b/>
          <w:bCs/>
          <w:sz w:val="22"/>
          <w:szCs w:val="22"/>
        </w:rPr>
        <w:t>statistics</w:t>
      </w:r>
      <w:r w:rsidRPr="00A12BDE">
        <w:rPr>
          <w:b/>
          <w:bCs/>
          <w:sz w:val="22"/>
          <w:szCs w:val="22"/>
        </w:rPr>
        <w:t xml:space="preserve">: </w:t>
      </w:r>
      <w:r w:rsidR="008E7096" w:rsidRPr="00A12BDE">
        <w:rPr>
          <w:sz w:val="22"/>
          <w:szCs w:val="22"/>
        </w:rPr>
        <w:t>The National Statistics Office</w:t>
      </w:r>
      <w:r w:rsidR="00FE571F" w:rsidRPr="00A12BDE">
        <w:rPr>
          <w:sz w:val="22"/>
          <w:szCs w:val="22"/>
        </w:rPr>
        <w:t xml:space="preserve"> regularly publishes on population statistics (demography and vital statistics)</w:t>
      </w:r>
      <w:r w:rsidR="008E7096" w:rsidRPr="00A12BDE">
        <w:rPr>
          <w:rStyle w:val="Lbjegyzet-hivatkozs"/>
          <w:sz w:val="22"/>
          <w:szCs w:val="22"/>
        </w:rPr>
        <w:footnoteReference w:id="7"/>
      </w:r>
      <w:r w:rsidR="00FE571F" w:rsidRPr="00A12BDE">
        <w:rPr>
          <w:sz w:val="22"/>
          <w:szCs w:val="22"/>
        </w:rPr>
        <w:t xml:space="preserve">. The </w:t>
      </w:r>
      <w:r w:rsidR="008E7096" w:rsidRPr="00A12BDE">
        <w:rPr>
          <w:sz w:val="22"/>
          <w:szCs w:val="22"/>
        </w:rPr>
        <w:t xml:space="preserve">National Centre for Disease Control and Public Health </w:t>
      </w:r>
      <w:r w:rsidR="00922BF1" w:rsidRPr="00A12BDE">
        <w:rPr>
          <w:sz w:val="22"/>
          <w:szCs w:val="22"/>
        </w:rPr>
        <w:t xml:space="preserve">(NCDC) </w:t>
      </w:r>
      <w:r w:rsidR="008E7096" w:rsidRPr="00A12BDE">
        <w:rPr>
          <w:sz w:val="22"/>
          <w:szCs w:val="22"/>
        </w:rPr>
        <w:t>regularly collects and reports data on health system functions (i.e. health governance, financing, generation of resources and service delivery) and performance of health care services.</w:t>
      </w:r>
      <w:r w:rsidR="008E7096" w:rsidRPr="008E37A0">
        <w:rPr>
          <w:sz w:val="22"/>
          <w:szCs w:val="22"/>
        </w:rPr>
        <w:t xml:space="preserve"> </w:t>
      </w:r>
    </w:p>
    <w:p w14:paraId="77D2CA6E" w14:textId="640BF5FE" w:rsidR="002C452C" w:rsidRPr="008E37A0" w:rsidRDefault="00F0061B" w:rsidP="00F0061B">
      <w:pPr>
        <w:pStyle w:val="Corpo"/>
        <w:spacing w:before="120" w:after="120"/>
        <w:jc w:val="both"/>
        <w:rPr>
          <w:sz w:val="22"/>
          <w:szCs w:val="22"/>
        </w:rPr>
      </w:pPr>
      <w:r w:rsidRPr="00A12BDE">
        <w:rPr>
          <w:sz w:val="22"/>
          <w:szCs w:val="22"/>
        </w:rPr>
        <w:t xml:space="preserve">In Georgia, an increase of the number of physicians per 100,000 population has been observed since 2008. This indicator in Georgia is significantly higher than in the European region, the EU and the CIS countries (467 physicians per 100,000 population in 2008 and 795 in 2018). In 1998 – 2013, the number of nurses per 100,000 population had a trend of reduction, and despite of the recently observed increase, this indicator is significantly lower than the indicators of the European region, the EU and the CIS countries (450 </w:t>
      </w:r>
      <w:r w:rsidR="0049573F" w:rsidRPr="00A12BDE">
        <w:rPr>
          <w:sz w:val="22"/>
          <w:szCs w:val="22"/>
        </w:rPr>
        <w:t xml:space="preserve">nurses per 100,000 population </w:t>
      </w:r>
      <w:r w:rsidRPr="00A12BDE">
        <w:rPr>
          <w:sz w:val="22"/>
          <w:szCs w:val="22"/>
        </w:rPr>
        <w:t>in 2008, 398 in 201</w:t>
      </w:r>
      <w:r w:rsidR="0049573F" w:rsidRPr="00A12BDE">
        <w:rPr>
          <w:sz w:val="22"/>
          <w:szCs w:val="22"/>
        </w:rPr>
        <w:t>4</w:t>
      </w:r>
      <w:r w:rsidRPr="00A12BDE">
        <w:rPr>
          <w:sz w:val="22"/>
          <w:szCs w:val="22"/>
        </w:rPr>
        <w:t xml:space="preserve"> and </w:t>
      </w:r>
      <w:r w:rsidR="0049573F" w:rsidRPr="00A12BDE">
        <w:rPr>
          <w:sz w:val="22"/>
          <w:szCs w:val="22"/>
        </w:rPr>
        <w:t>495 in 2018)</w:t>
      </w:r>
      <w:r w:rsidR="0049573F" w:rsidRPr="00A12BDE">
        <w:rPr>
          <w:rStyle w:val="Lbjegyzet-hivatkozs"/>
          <w:sz w:val="22"/>
          <w:szCs w:val="22"/>
        </w:rPr>
        <w:footnoteReference w:id="8"/>
      </w:r>
      <w:r w:rsidR="0049573F" w:rsidRPr="00A12BDE">
        <w:rPr>
          <w:sz w:val="22"/>
          <w:szCs w:val="22"/>
        </w:rPr>
        <w:t>.</w:t>
      </w:r>
    </w:p>
    <w:p w14:paraId="5885D3DF" w14:textId="259D09D5" w:rsidR="0049573F" w:rsidRPr="008E37A0" w:rsidRDefault="0049573F" w:rsidP="00F0061B">
      <w:pPr>
        <w:pStyle w:val="Corpo"/>
        <w:spacing w:before="120" w:after="120"/>
        <w:jc w:val="both"/>
        <w:rPr>
          <w:sz w:val="22"/>
          <w:szCs w:val="22"/>
        </w:rPr>
      </w:pPr>
      <w:r w:rsidRPr="008E37A0">
        <w:rPr>
          <w:sz w:val="22"/>
          <w:szCs w:val="22"/>
        </w:rPr>
        <w:t>According to WHO last available data, encounters of the population with outpatient facilities in European Region is about 6 per capita. In Georgia, last two decades this indicator did not exceed 2.2. After the Universal Health Care Program</w:t>
      </w:r>
      <w:r w:rsidR="00922BF1" w:rsidRPr="008E37A0">
        <w:rPr>
          <w:sz w:val="22"/>
          <w:szCs w:val="22"/>
        </w:rPr>
        <w:t>me</w:t>
      </w:r>
      <w:r w:rsidRPr="008E37A0">
        <w:rPr>
          <w:sz w:val="22"/>
          <w:szCs w:val="22"/>
        </w:rPr>
        <w:t xml:space="preserve"> implementation in the country, the numbers of encounters of the population with outpatient and in-patient health facilities have significantly increased. In 2018, the numbers of encounters of the population with outpatient facilities was 3.7 per capita per year.</w:t>
      </w:r>
    </w:p>
    <w:p w14:paraId="3B70E99E" w14:textId="17C32760" w:rsidR="0049573F" w:rsidRPr="008E37A0" w:rsidRDefault="0049573F" w:rsidP="00F0061B">
      <w:pPr>
        <w:pStyle w:val="Corpo"/>
        <w:spacing w:before="120" w:after="120"/>
        <w:jc w:val="both"/>
        <w:rPr>
          <w:sz w:val="22"/>
          <w:szCs w:val="22"/>
        </w:rPr>
      </w:pPr>
      <w:r w:rsidRPr="008E37A0">
        <w:rPr>
          <w:sz w:val="22"/>
          <w:szCs w:val="22"/>
        </w:rPr>
        <w:t xml:space="preserve">In 2018, annual statistical reports were submitted to the </w:t>
      </w:r>
      <w:r w:rsidR="00922BF1" w:rsidRPr="008E37A0">
        <w:rPr>
          <w:sz w:val="22"/>
          <w:szCs w:val="22"/>
        </w:rPr>
        <w:t>NCDC</w:t>
      </w:r>
      <w:r w:rsidRPr="008E37A0">
        <w:rPr>
          <w:sz w:val="22"/>
          <w:szCs w:val="22"/>
        </w:rPr>
        <w:t xml:space="preserve"> by 273 in-patient facilities. They registered 502,756 hospital discharges, similarly to the previous year. Among diagnosis at discharge, the respiratory system diseases constituted 20.1%, cardiovascular disorders 19.4%, and pregnancy, childbirth and puerperium 10.2% of total. Total hospital case fatality rate was 2.5%.</w:t>
      </w:r>
    </w:p>
    <w:p w14:paraId="0E7787AF" w14:textId="24A64930" w:rsidR="008E7096" w:rsidRPr="008E37A0" w:rsidRDefault="008E7096" w:rsidP="008E7096">
      <w:pPr>
        <w:pStyle w:val="Corpo"/>
        <w:spacing w:before="120" w:after="120"/>
        <w:jc w:val="both"/>
        <w:rPr>
          <w:sz w:val="22"/>
          <w:szCs w:val="22"/>
        </w:rPr>
      </w:pPr>
      <w:r w:rsidRPr="008E37A0">
        <w:rPr>
          <w:b/>
          <w:bCs/>
          <w:sz w:val="22"/>
          <w:szCs w:val="22"/>
        </w:rPr>
        <w:t xml:space="preserve">Universal Health Care Programme: </w:t>
      </w:r>
      <w:r w:rsidRPr="008E37A0">
        <w:rPr>
          <w:sz w:val="22"/>
          <w:szCs w:val="22"/>
        </w:rPr>
        <w:t>From February to Ju</w:t>
      </w:r>
      <w:r w:rsidR="00D70D8E" w:rsidRPr="008E37A0">
        <w:rPr>
          <w:sz w:val="22"/>
          <w:szCs w:val="22"/>
        </w:rPr>
        <w:t>ne</w:t>
      </w:r>
      <w:r w:rsidRPr="008E37A0">
        <w:rPr>
          <w:sz w:val="22"/>
          <w:szCs w:val="22"/>
        </w:rPr>
        <w:t xml:space="preserve"> 2013, the first phase of the </w:t>
      </w:r>
      <w:r w:rsidR="002B6B40" w:rsidRPr="008E37A0">
        <w:rPr>
          <w:sz w:val="22"/>
          <w:szCs w:val="22"/>
        </w:rPr>
        <w:t>Universal Health Care P</w:t>
      </w:r>
      <w:r w:rsidRPr="008E37A0">
        <w:rPr>
          <w:sz w:val="22"/>
          <w:szCs w:val="22"/>
        </w:rPr>
        <w:t>rogram</w:t>
      </w:r>
      <w:r w:rsidR="002B6B40" w:rsidRPr="008E37A0">
        <w:rPr>
          <w:sz w:val="22"/>
          <w:szCs w:val="22"/>
        </w:rPr>
        <w:t>me</w:t>
      </w:r>
      <w:r w:rsidRPr="008E37A0">
        <w:rPr>
          <w:sz w:val="22"/>
          <w:szCs w:val="22"/>
        </w:rPr>
        <w:t xml:space="preserve"> provided the primary healthcare </w:t>
      </w:r>
      <w:r w:rsidR="002C00E1" w:rsidRPr="008E37A0">
        <w:rPr>
          <w:sz w:val="22"/>
          <w:szCs w:val="22"/>
        </w:rPr>
        <w:t>(</w:t>
      </w:r>
      <w:r w:rsidR="002C00E1" w:rsidRPr="00A12BDE">
        <w:rPr>
          <w:sz w:val="22"/>
          <w:szCs w:val="22"/>
        </w:rPr>
        <w:t>PHC</w:t>
      </w:r>
      <w:r w:rsidR="002C00E1" w:rsidRPr="008E37A0">
        <w:rPr>
          <w:sz w:val="22"/>
          <w:szCs w:val="22"/>
        </w:rPr>
        <w:t xml:space="preserve">) </w:t>
      </w:r>
      <w:r w:rsidRPr="008E37A0">
        <w:rPr>
          <w:sz w:val="22"/>
          <w:szCs w:val="22"/>
        </w:rPr>
        <w:t xml:space="preserve">services by the family physician and emergency outpatient and inpatient care. The second phase of </w:t>
      </w:r>
      <w:r w:rsidR="002B6B40" w:rsidRPr="008E37A0">
        <w:rPr>
          <w:sz w:val="22"/>
          <w:szCs w:val="22"/>
        </w:rPr>
        <w:t>P</w:t>
      </w:r>
      <w:r w:rsidRPr="008E37A0">
        <w:rPr>
          <w:sz w:val="22"/>
          <w:szCs w:val="22"/>
        </w:rPr>
        <w:t>rogram</w:t>
      </w:r>
      <w:r w:rsidR="002B6B40" w:rsidRPr="008E37A0">
        <w:rPr>
          <w:sz w:val="22"/>
          <w:szCs w:val="22"/>
        </w:rPr>
        <w:t>me</w:t>
      </w:r>
      <w:r w:rsidRPr="008E37A0">
        <w:rPr>
          <w:sz w:val="22"/>
          <w:szCs w:val="22"/>
        </w:rPr>
        <w:t xml:space="preserve"> </w:t>
      </w:r>
      <w:r w:rsidR="007A7BE8" w:rsidRPr="008E37A0">
        <w:rPr>
          <w:sz w:val="22"/>
          <w:szCs w:val="22"/>
        </w:rPr>
        <w:t xml:space="preserve">was </w:t>
      </w:r>
      <w:r w:rsidRPr="008E37A0">
        <w:rPr>
          <w:sz w:val="22"/>
          <w:szCs w:val="22"/>
        </w:rPr>
        <w:t xml:space="preserve">launched in July 2013 </w:t>
      </w:r>
      <w:r w:rsidR="007A7BE8" w:rsidRPr="008E37A0">
        <w:rPr>
          <w:sz w:val="22"/>
          <w:szCs w:val="22"/>
        </w:rPr>
        <w:t xml:space="preserve">and </w:t>
      </w:r>
      <w:r w:rsidRPr="008E37A0">
        <w:rPr>
          <w:sz w:val="22"/>
          <w:szCs w:val="22"/>
        </w:rPr>
        <w:t xml:space="preserve">extended the services covered and include planned ambulatory care, urgent outpatient and inpatient </w:t>
      </w:r>
      <w:r w:rsidRPr="008E37A0">
        <w:rPr>
          <w:sz w:val="22"/>
          <w:szCs w:val="22"/>
        </w:rPr>
        <w:lastRenderedPageBreak/>
        <w:t xml:space="preserve">care, elective surgery, chemo-, hormone-, and radiotherapy, obstetrics and </w:t>
      </w:r>
      <w:r w:rsidR="008E37A0" w:rsidRPr="008E37A0">
        <w:rPr>
          <w:sz w:val="22"/>
          <w:szCs w:val="22"/>
        </w:rPr>
        <w:t>caesarean</w:t>
      </w:r>
      <w:r w:rsidRPr="008E37A0">
        <w:rPr>
          <w:sz w:val="22"/>
          <w:szCs w:val="22"/>
        </w:rPr>
        <w:t xml:space="preserve"> sections, basic drugs for target groups of the population. </w:t>
      </w:r>
    </w:p>
    <w:p w14:paraId="30E7BD5A" w14:textId="5D33E217" w:rsidR="008E7096" w:rsidRPr="008E37A0" w:rsidRDefault="008E7096" w:rsidP="008E7096">
      <w:pPr>
        <w:pStyle w:val="Corpo"/>
        <w:spacing w:before="120" w:after="120"/>
        <w:jc w:val="both"/>
        <w:rPr>
          <w:sz w:val="22"/>
          <w:szCs w:val="22"/>
        </w:rPr>
      </w:pPr>
      <w:r w:rsidRPr="008E37A0">
        <w:rPr>
          <w:sz w:val="22"/>
          <w:szCs w:val="22"/>
        </w:rPr>
        <w:t xml:space="preserve">In May 2017, to further reform the </w:t>
      </w:r>
      <w:r w:rsidR="002B6B40" w:rsidRPr="008E37A0">
        <w:rPr>
          <w:sz w:val="22"/>
          <w:szCs w:val="22"/>
        </w:rPr>
        <w:t>P</w:t>
      </w:r>
      <w:r w:rsidRPr="008E37A0">
        <w:rPr>
          <w:sz w:val="22"/>
          <w:szCs w:val="22"/>
        </w:rPr>
        <w:t>rogram</w:t>
      </w:r>
      <w:r w:rsidR="002B6B40" w:rsidRPr="008E37A0">
        <w:rPr>
          <w:sz w:val="22"/>
          <w:szCs w:val="22"/>
        </w:rPr>
        <w:t>me</w:t>
      </w:r>
      <w:r w:rsidRPr="008E37A0">
        <w:rPr>
          <w:sz w:val="22"/>
          <w:szCs w:val="22"/>
        </w:rPr>
        <w:t xml:space="preserve">, elaboration of new criteria for differentiation of beneficiaries (according to beneficiaries' revenue) has been implemented for provision of more </w:t>
      </w:r>
      <w:r w:rsidR="008E37A0" w:rsidRPr="008E37A0">
        <w:rPr>
          <w:sz w:val="22"/>
          <w:szCs w:val="22"/>
        </w:rPr>
        <w:t>needs-oriented</w:t>
      </w:r>
      <w:r w:rsidRPr="008E37A0">
        <w:rPr>
          <w:sz w:val="22"/>
          <w:szCs w:val="22"/>
        </w:rPr>
        <w:t xml:space="preserve"> services and development of "social justice" approach. From July 2017, persons suffering from chronic conditions, are eligible for the state program</w:t>
      </w:r>
      <w:r w:rsidR="002B6B40" w:rsidRPr="008E37A0">
        <w:rPr>
          <w:sz w:val="22"/>
          <w:szCs w:val="22"/>
        </w:rPr>
        <w:t>me</w:t>
      </w:r>
      <w:r w:rsidRPr="008E37A0">
        <w:rPr>
          <w:sz w:val="22"/>
          <w:szCs w:val="22"/>
        </w:rPr>
        <w:t xml:space="preserve"> providing drugs for chronic conditions. The program</w:t>
      </w:r>
      <w:r w:rsidR="002B6B40" w:rsidRPr="008E37A0">
        <w:rPr>
          <w:sz w:val="22"/>
          <w:szCs w:val="22"/>
        </w:rPr>
        <w:t>me</w:t>
      </w:r>
      <w:r w:rsidRPr="008E37A0">
        <w:rPr>
          <w:sz w:val="22"/>
          <w:szCs w:val="22"/>
        </w:rPr>
        <w:t xml:space="preserve"> provides patients with selected drugs for chronic cardiovascular diseases, chronic obstructive pulmonary disease</w:t>
      </w:r>
      <w:r w:rsidR="002B6B40" w:rsidRPr="008E37A0">
        <w:rPr>
          <w:sz w:val="22"/>
          <w:szCs w:val="22"/>
        </w:rPr>
        <w:t xml:space="preserve"> (</w:t>
      </w:r>
      <w:r w:rsidR="002B6B40" w:rsidRPr="00A12BDE">
        <w:rPr>
          <w:sz w:val="22"/>
          <w:szCs w:val="22"/>
        </w:rPr>
        <w:t>COPD</w:t>
      </w:r>
      <w:r w:rsidR="002B6B40" w:rsidRPr="008E37A0">
        <w:rPr>
          <w:sz w:val="22"/>
          <w:szCs w:val="22"/>
        </w:rPr>
        <w:t>)</w:t>
      </w:r>
      <w:r w:rsidRPr="008E37A0">
        <w:rPr>
          <w:sz w:val="22"/>
          <w:szCs w:val="22"/>
        </w:rPr>
        <w:t>, diabetes (type 2) and thyroid conditions.</w:t>
      </w:r>
    </w:p>
    <w:p w14:paraId="6302379B" w14:textId="505D5EFE" w:rsidR="009E267E" w:rsidRPr="008E37A0" w:rsidRDefault="009E267E" w:rsidP="009E267E">
      <w:pPr>
        <w:pStyle w:val="Corpo"/>
        <w:spacing w:before="120" w:after="120"/>
        <w:jc w:val="both"/>
        <w:rPr>
          <w:sz w:val="22"/>
          <w:szCs w:val="22"/>
        </w:rPr>
      </w:pPr>
      <w:r w:rsidRPr="008E37A0">
        <w:rPr>
          <w:sz w:val="22"/>
          <w:szCs w:val="22"/>
        </w:rPr>
        <w:t xml:space="preserve">Since May 2017, selective contracting has been introduced </w:t>
      </w:r>
      <w:r w:rsidR="007A7BE8" w:rsidRPr="008E37A0">
        <w:rPr>
          <w:sz w:val="22"/>
          <w:szCs w:val="22"/>
        </w:rPr>
        <w:t xml:space="preserve">step by step </w:t>
      </w:r>
      <w:r w:rsidRPr="008E37A0">
        <w:rPr>
          <w:sz w:val="22"/>
          <w:szCs w:val="22"/>
        </w:rPr>
        <w:t>to ensure quality of care with limited funds. The selection will be based on the following criteria: coverage of services, quality of services, volume of services, financial transparency and compliance with penalty sanctions</w:t>
      </w:r>
      <w:r w:rsidR="007A7BE8" w:rsidRPr="008E37A0">
        <w:rPr>
          <w:sz w:val="22"/>
          <w:szCs w:val="22"/>
        </w:rPr>
        <w:t xml:space="preserve"> (s</w:t>
      </w:r>
      <w:r w:rsidRPr="008E37A0">
        <w:rPr>
          <w:sz w:val="22"/>
          <w:szCs w:val="22"/>
        </w:rPr>
        <w:t>ince March 2017, selective contracting for delivery services and caesarean sections, and neonatal intensive care services</w:t>
      </w:r>
      <w:r w:rsidR="007A7BE8" w:rsidRPr="008E37A0">
        <w:rPr>
          <w:sz w:val="22"/>
          <w:szCs w:val="22"/>
        </w:rPr>
        <w:t>, s</w:t>
      </w:r>
      <w:r w:rsidRPr="008E37A0">
        <w:rPr>
          <w:sz w:val="22"/>
          <w:szCs w:val="22"/>
        </w:rPr>
        <w:t>ince July 2017, selective contracting for intensive care at level II-III and since January 2018, for hospital emergency care</w:t>
      </w:r>
      <w:r w:rsidR="007A7BE8" w:rsidRPr="008E37A0">
        <w:rPr>
          <w:sz w:val="22"/>
          <w:szCs w:val="22"/>
        </w:rPr>
        <w:t>)</w:t>
      </w:r>
      <w:r w:rsidRPr="008E37A0">
        <w:rPr>
          <w:sz w:val="22"/>
          <w:szCs w:val="22"/>
        </w:rPr>
        <w:t xml:space="preserve">. </w:t>
      </w:r>
    </w:p>
    <w:p w14:paraId="345481F8" w14:textId="194666ED" w:rsidR="00392044" w:rsidRPr="008E37A0" w:rsidRDefault="00392044" w:rsidP="00392044">
      <w:pPr>
        <w:pStyle w:val="Corpo"/>
        <w:spacing w:after="120"/>
        <w:jc w:val="both"/>
        <w:rPr>
          <w:sz w:val="22"/>
          <w:szCs w:val="22"/>
        </w:rPr>
      </w:pPr>
      <w:r w:rsidRPr="008E37A0">
        <w:rPr>
          <w:sz w:val="22"/>
          <w:szCs w:val="22"/>
        </w:rPr>
        <w:t xml:space="preserve">In September 2019, President of Georgia, </w:t>
      </w:r>
      <w:r w:rsidRPr="008E37A0">
        <w:rPr>
          <w:i/>
          <w:iCs/>
          <w:sz w:val="22"/>
          <w:szCs w:val="22"/>
        </w:rPr>
        <w:t>Salome Zurabishvili</w:t>
      </w:r>
      <w:r w:rsidRPr="008E37A0">
        <w:rPr>
          <w:sz w:val="22"/>
          <w:szCs w:val="22"/>
        </w:rPr>
        <w:t xml:space="preserve"> delivered a speech at the session dedicated to </w:t>
      </w:r>
      <w:r w:rsidR="002B6B40" w:rsidRPr="008E37A0">
        <w:rPr>
          <w:sz w:val="22"/>
          <w:szCs w:val="22"/>
        </w:rPr>
        <w:t>U</w:t>
      </w:r>
      <w:r w:rsidRPr="008E37A0">
        <w:rPr>
          <w:sz w:val="22"/>
          <w:szCs w:val="22"/>
        </w:rPr>
        <w:t xml:space="preserve">niversal </w:t>
      </w:r>
      <w:r w:rsidR="002B6B40" w:rsidRPr="008E37A0">
        <w:rPr>
          <w:sz w:val="22"/>
          <w:szCs w:val="22"/>
        </w:rPr>
        <w:t>H</w:t>
      </w:r>
      <w:r w:rsidRPr="008E37A0">
        <w:rPr>
          <w:sz w:val="22"/>
          <w:szCs w:val="22"/>
        </w:rPr>
        <w:t xml:space="preserve">ealth </w:t>
      </w:r>
      <w:r w:rsidR="002B6B40" w:rsidRPr="008E37A0">
        <w:rPr>
          <w:sz w:val="22"/>
          <w:szCs w:val="22"/>
        </w:rPr>
        <w:t>C</w:t>
      </w:r>
      <w:r w:rsidRPr="008E37A0">
        <w:rPr>
          <w:sz w:val="22"/>
          <w:szCs w:val="22"/>
        </w:rPr>
        <w:t>overage, held at the 74th session of the United Nations General Assembly (</w:t>
      </w:r>
      <w:r w:rsidRPr="00A12BDE">
        <w:rPr>
          <w:sz w:val="22"/>
          <w:szCs w:val="22"/>
        </w:rPr>
        <w:t>UNGA</w:t>
      </w:r>
      <w:r w:rsidRPr="008E37A0">
        <w:rPr>
          <w:sz w:val="22"/>
          <w:szCs w:val="22"/>
        </w:rPr>
        <w:t>) in New York, saying that 90 per cent of Georgians have access to universal healthcare services while the opportunity is not fully available for Georgian citizens living in the Russian-occupied regions of Abkhazia and Tskhinvali</w:t>
      </w:r>
      <w:r w:rsidRPr="008E37A0">
        <w:rPr>
          <w:rStyle w:val="Lbjegyzet-hivatkozs"/>
          <w:sz w:val="22"/>
          <w:szCs w:val="22"/>
        </w:rPr>
        <w:footnoteReference w:id="9"/>
      </w:r>
      <w:r w:rsidRPr="008E37A0">
        <w:rPr>
          <w:sz w:val="22"/>
          <w:szCs w:val="22"/>
        </w:rPr>
        <w:t>.</w:t>
      </w:r>
    </w:p>
    <w:p w14:paraId="3C5E00E1" w14:textId="042D1CE1" w:rsidR="009E267E" w:rsidRPr="008E37A0" w:rsidRDefault="009E267E" w:rsidP="009E267E">
      <w:pPr>
        <w:pStyle w:val="Corpo"/>
        <w:spacing w:before="120" w:after="120"/>
        <w:jc w:val="both"/>
        <w:rPr>
          <w:sz w:val="22"/>
          <w:szCs w:val="22"/>
        </w:rPr>
      </w:pPr>
      <w:r w:rsidRPr="008E37A0">
        <w:rPr>
          <w:b/>
          <w:bCs/>
          <w:sz w:val="22"/>
          <w:szCs w:val="22"/>
        </w:rPr>
        <w:t>State program</w:t>
      </w:r>
      <w:r w:rsidR="002B6B40" w:rsidRPr="008E37A0">
        <w:rPr>
          <w:b/>
          <w:bCs/>
          <w:sz w:val="22"/>
          <w:szCs w:val="22"/>
        </w:rPr>
        <w:t>me</w:t>
      </w:r>
      <w:r w:rsidRPr="008E37A0">
        <w:rPr>
          <w:b/>
          <w:bCs/>
          <w:sz w:val="22"/>
          <w:szCs w:val="22"/>
        </w:rPr>
        <w:t xml:space="preserve">s </w:t>
      </w:r>
      <w:r w:rsidR="007A7BE8" w:rsidRPr="008E37A0">
        <w:rPr>
          <w:b/>
          <w:bCs/>
          <w:sz w:val="22"/>
          <w:szCs w:val="22"/>
        </w:rPr>
        <w:t xml:space="preserve">(vertical programmes): </w:t>
      </w:r>
      <w:r w:rsidRPr="008E37A0">
        <w:rPr>
          <w:sz w:val="22"/>
          <w:szCs w:val="22"/>
        </w:rPr>
        <w:t xml:space="preserve">In addition to the </w:t>
      </w:r>
      <w:r w:rsidR="002B6B40" w:rsidRPr="008E37A0">
        <w:rPr>
          <w:sz w:val="22"/>
          <w:szCs w:val="22"/>
        </w:rPr>
        <w:t>U</w:t>
      </w:r>
      <w:r w:rsidRPr="008E37A0">
        <w:rPr>
          <w:sz w:val="22"/>
          <w:szCs w:val="22"/>
        </w:rPr>
        <w:t xml:space="preserve">niversal </w:t>
      </w:r>
      <w:r w:rsidR="002B6B40" w:rsidRPr="008E37A0">
        <w:rPr>
          <w:sz w:val="22"/>
          <w:szCs w:val="22"/>
        </w:rPr>
        <w:t>H</w:t>
      </w:r>
      <w:r w:rsidRPr="008E37A0">
        <w:rPr>
          <w:sz w:val="22"/>
          <w:szCs w:val="22"/>
        </w:rPr>
        <w:t xml:space="preserve">ealth </w:t>
      </w:r>
      <w:r w:rsidR="002B6B40" w:rsidRPr="008E37A0">
        <w:rPr>
          <w:sz w:val="22"/>
          <w:szCs w:val="22"/>
        </w:rPr>
        <w:t>C</w:t>
      </w:r>
      <w:r w:rsidRPr="008E37A0">
        <w:rPr>
          <w:sz w:val="22"/>
          <w:szCs w:val="22"/>
        </w:rPr>
        <w:t xml:space="preserve">are </w:t>
      </w:r>
      <w:r w:rsidR="002B6B40" w:rsidRPr="008E37A0">
        <w:rPr>
          <w:sz w:val="22"/>
          <w:szCs w:val="22"/>
        </w:rPr>
        <w:t>P</w:t>
      </w:r>
      <w:r w:rsidRPr="008E37A0">
        <w:rPr>
          <w:sz w:val="22"/>
          <w:szCs w:val="22"/>
        </w:rPr>
        <w:t>rogram, the state's obligations to the population are carried out through program</w:t>
      </w:r>
      <w:r w:rsidR="002B6B40" w:rsidRPr="008E37A0">
        <w:rPr>
          <w:sz w:val="22"/>
          <w:szCs w:val="22"/>
        </w:rPr>
        <w:t>me</w:t>
      </w:r>
      <w:r w:rsidRPr="008E37A0">
        <w:rPr>
          <w:sz w:val="22"/>
          <w:szCs w:val="22"/>
        </w:rPr>
        <w:t>s providing healthcare services in priority areas through health program</w:t>
      </w:r>
      <w:r w:rsidR="002B6B40" w:rsidRPr="008E37A0">
        <w:rPr>
          <w:sz w:val="22"/>
          <w:szCs w:val="22"/>
        </w:rPr>
        <w:t>me</w:t>
      </w:r>
      <w:r w:rsidRPr="008E37A0">
        <w:rPr>
          <w:sz w:val="22"/>
          <w:szCs w:val="22"/>
        </w:rPr>
        <w:t>s</w:t>
      </w:r>
      <w:r w:rsidR="007A7BE8" w:rsidRPr="008E37A0">
        <w:rPr>
          <w:rStyle w:val="Lbjegyzet-hivatkozs"/>
          <w:sz w:val="22"/>
          <w:szCs w:val="22"/>
        </w:rPr>
        <w:footnoteReference w:id="10"/>
      </w:r>
      <w:r w:rsidR="00C74647" w:rsidRPr="008E37A0">
        <w:rPr>
          <w:sz w:val="22"/>
          <w:szCs w:val="22"/>
        </w:rPr>
        <w:t>.</w:t>
      </w:r>
    </w:p>
    <w:p w14:paraId="399B1F48" w14:textId="419E5C98" w:rsidR="00C617DF" w:rsidRPr="008E37A0" w:rsidRDefault="00C617DF" w:rsidP="002B6B40">
      <w:pPr>
        <w:pStyle w:val="Corpo"/>
        <w:spacing w:before="120"/>
        <w:jc w:val="both"/>
        <w:rPr>
          <w:sz w:val="22"/>
          <w:szCs w:val="22"/>
        </w:rPr>
      </w:pPr>
      <w:r w:rsidRPr="00A12BDE">
        <w:rPr>
          <w:sz w:val="22"/>
          <w:szCs w:val="22"/>
        </w:rPr>
        <w:t>Georgia has achieved significant progress in several directions in the fight against HIV/AIDS and</w:t>
      </w:r>
      <w:r w:rsidR="002B6B40" w:rsidRPr="00A12BDE">
        <w:rPr>
          <w:sz w:val="22"/>
          <w:szCs w:val="22"/>
        </w:rPr>
        <w:t xml:space="preserve"> tuberculosis (</w:t>
      </w:r>
      <w:r w:rsidRPr="00A12BDE">
        <w:rPr>
          <w:sz w:val="22"/>
          <w:szCs w:val="22"/>
        </w:rPr>
        <w:t>TB</w:t>
      </w:r>
      <w:r w:rsidR="002B6B40" w:rsidRPr="00A12BDE">
        <w:rPr>
          <w:sz w:val="22"/>
          <w:szCs w:val="22"/>
        </w:rPr>
        <w:t>)</w:t>
      </w:r>
      <w:r w:rsidRPr="00A12BDE">
        <w:rPr>
          <w:sz w:val="22"/>
          <w:szCs w:val="22"/>
        </w:rPr>
        <w:t xml:space="preserve"> especially in treatment outcomes. Although timely detection and early enrolment in treatment program</w:t>
      </w:r>
      <w:r w:rsidR="002B6B40" w:rsidRPr="00A12BDE">
        <w:rPr>
          <w:sz w:val="22"/>
          <w:szCs w:val="22"/>
        </w:rPr>
        <w:t>me</w:t>
      </w:r>
      <w:r w:rsidRPr="00A12BDE">
        <w:rPr>
          <w:sz w:val="22"/>
          <w:szCs w:val="22"/>
        </w:rPr>
        <w:t xml:space="preserve"> remain a challenge, successful intersectoral collaboration and innovative initiatives build solid perspectives for integrating HIV/AIDS and TB services at PHC system countrywide. Active collaboration between TB and HIV services in Georgia resulted in effective implementation of integrated HIV/TB activities, including HIV screening of all persons with active TB disease, TB case finding among HIV positive persons and provision of treatment for both diseases.</w:t>
      </w:r>
      <w:r w:rsidRPr="008E37A0">
        <w:rPr>
          <w:sz w:val="22"/>
          <w:szCs w:val="22"/>
        </w:rPr>
        <w:t xml:space="preserve"> </w:t>
      </w:r>
    </w:p>
    <w:p w14:paraId="00FF0C0B" w14:textId="78BE1137" w:rsidR="00644E3F" w:rsidRPr="008E37A0" w:rsidRDefault="00644E3F" w:rsidP="002B6B40">
      <w:pPr>
        <w:pStyle w:val="Corpo"/>
        <w:spacing w:before="120"/>
        <w:jc w:val="both"/>
        <w:rPr>
          <w:sz w:val="22"/>
          <w:szCs w:val="22"/>
        </w:rPr>
      </w:pPr>
      <w:r w:rsidRPr="008E37A0">
        <w:rPr>
          <w:sz w:val="22"/>
          <w:szCs w:val="22"/>
        </w:rPr>
        <w:t>To increase the coverage with preventive activities, HIV/AIDS National Strategic Plan 2019–2022</w:t>
      </w:r>
      <w:r w:rsidRPr="008E37A0">
        <w:rPr>
          <w:rStyle w:val="Lbjegyzet-hivatkozs"/>
          <w:sz w:val="22"/>
          <w:szCs w:val="22"/>
        </w:rPr>
        <w:footnoteReference w:id="11"/>
      </w:r>
      <w:r w:rsidRPr="008E37A0">
        <w:rPr>
          <w:sz w:val="22"/>
          <w:szCs w:val="22"/>
        </w:rPr>
        <w:t xml:space="preserve"> suggests </w:t>
      </w:r>
      <w:r w:rsidR="008E37A0" w:rsidRPr="008E37A0">
        <w:rPr>
          <w:sz w:val="22"/>
          <w:szCs w:val="22"/>
        </w:rPr>
        <w:t>making</w:t>
      </w:r>
      <w:r w:rsidRPr="008E37A0">
        <w:rPr>
          <w:sz w:val="22"/>
          <w:szCs w:val="22"/>
        </w:rPr>
        <w:t xml:space="preserve"> them more attractive through expansion of services offered. For instance, adding vaccination/treatment of Hepatitis C and Hepatitis B to HIV case management protocol gives the opportunity to get multiple services at one point, that will decrease the travel time and cost associated to it. As Georgia is providing free Hepatitis C treatment program for entire population, it brings a great opportunity to integrate HIV testing into existing program and expand HIV testing uptake. Currently, this approach is being tested in several regions of the country. </w:t>
      </w:r>
    </w:p>
    <w:p w14:paraId="3C07D822" w14:textId="374F85D2" w:rsidR="00644E3F" w:rsidRPr="008E37A0" w:rsidRDefault="00644E3F" w:rsidP="002B6B40">
      <w:pPr>
        <w:pStyle w:val="Corpo"/>
        <w:spacing w:before="120"/>
        <w:jc w:val="both"/>
        <w:rPr>
          <w:sz w:val="22"/>
          <w:szCs w:val="22"/>
        </w:rPr>
      </w:pPr>
      <w:r w:rsidRPr="00A12BDE">
        <w:rPr>
          <w:sz w:val="22"/>
          <w:szCs w:val="22"/>
        </w:rPr>
        <w:lastRenderedPageBreak/>
        <w:t xml:space="preserve">Georgia set its hepatitis C elimination goal in 2015 with the support of WHO, the United States Center for Disease Control and Prevention </w:t>
      </w:r>
      <w:r w:rsidR="002B6B40" w:rsidRPr="00A12BDE">
        <w:rPr>
          <w:sz w:val="22"/>
          <w:szCs w:val="22"/>
        </w:rPr>
        <w:t xml:space="preserve">(CDC) </w:t>
      </w:r>
      <w:r w:rsidRPr="00A12BDE">
        <w:rPr>
          <w:sz w:val="22"/>
          <w:szCs w:val="22"/>
        </w:rPr>
        <w:t>and other partners, and signed a memorandum of understanding with a pharmaceutical manufacturer with the objective of providing new highly effective treatment for Hepatitis C. A year later, a long-term strategy for 2016–2020 was adopted to eliminate the disease from the country. This strategy has driven improvements in monitoring and surveillance, infection control and prevention; it has also expanded access to Hepatitis C screening, diagnosis and treatment services.</w:t>
      </w:r>
    </w:p>
    <w:p w14:paraId="2CE2CAC4" w14:textId="6BBCF3E8" w:rsidR="009E267E" w:rsidRPr="008E37A0" w:rsidRDefault="00DF7D72" w:rsidP="009E267E">
      <w:pPr>
        <w:pStyle w:val="Corpo"/>
        <w:spacing w:before="120" w:after="120"/>
        <w:jc w:val="both"/>
        <w:rPr>
          <w:sz w:val="22"/>
          <w:szCs w:val="22"/>
        </w:rPr>
      </w:pPr>
      <w:r w:rsidRPr="00A12BDE">
        <w:rPr>
          <w:b/>
          <w:bCs/>
          <w:sz w:val="22"/>
          <w:szCs w:val="22"/>
        </w:rPr>
        <w:t xml:space="preserve">Health Sector Financing: </w:t>
      </w:r>
      <w:r w:rsidR="009E267E" w:rsidRPr="00A12BDE">
        <w:rPr>
          <w:sz w:val="22"/>
          <w:szCs w:val="22"/>
        </w:rPr>
        <w:t>In Georgia, the total health care expenditures are growing each year.</w:t>
      </w:r>
      <w:r w:rsidR="00300B9D" w:rsidRPr="00A12BDE">
        <w:rPr>
          <w:sz w:val="22"/>
          <w:szCs w:val="22"/>
        </w:rPr>
        <w:t xml:space="preserve"> </w:t>
      </w:r>
      <w:r w:rsidR="009E267E" w:rsidRPr="00A12BDE">
        <w:rPr>
          <w:sz w:val="22"/>
          <w:szCs w:val="22"/>
        </w:rPr>
        <w:t xml:space="preserve">The share of the </w:t>
      </w:r>
      <w:r w:rsidR="002C00E1" w:rsidRPr="00A12BDE">
        <w:rPr>
          <w:sz w:val="22"/>
          <w:szCs w:val="22"/>
        </w:rPr>
        <w:t xml:space="preserve">total </w:t>
      </w:r>
      <w:r w:rsidR="009E267E" w:rsidRPr="00A12BDE">
        <w:rPr>
          <w:sz w:val="22"/>
          <w:szCs w:val="22"/>
        </w:rPr>
        <w:t xml:space="preserve">health expenditures </w:t>
      </w:r>
      <w:r w:rsidR="002B6B40" w:rsidRPr="00A12BDE">
        <w:rPr>
          <w:sz w:val="22"/>
          <w:szCs w:val="22"/>
        </w:rPr>
        <w:t xml:space="preserve">(THE) </w:t>
      </w:r>
      <w:r w:rsidR="009E267E" w:rsidRPr="00A12BDE">
        <w:rPr>
          <w:sz w:val="22"/>
          <w:szCs w:val="22"/>
        </w:rPr>
        <w:t xml:space="preserve">in GDP (%) </w:t>
      </w:r>
      <w:r w:rsidR="00300B9D" w:rsidRPr="00A12BDE">
        <w:rPr>
          <w:sz w:val="22"/>
          <w:szCs w:val="22"/>
        </w:rPr>
        <w:t>was 5.3</w:t>
      </w:r>
      <w:r w:rsidR="009E267E" w:rsidRPr="00A12BDE">
        <w:rPr>
          <w:sz w:val="22"/>
          <w:szCs w:val="22"/>
        </w:rPr>
        <w:t>%</w:t>
      </w:r>
      <w:r w:rsidR="00300B9D" w:rsidRPr="00A12BDE">
        <w:rPr>
          <w:sz w:val="22"/>
          <w:szCs w:val="22"/>
        </w:rPr>
        <w:t xml:space="preserve"> in 2012 and 10</w:t>
      </w:r>
      <w:r w:rsidR="009E267E" w:rsidRPr="00A12BDE">
        <w:rPr>
          <w:sz w:val="22"/>
          <w:szCs w:val="22"/>
        </w:rPr>
        <w:t>%</w:t>
      </w:r>
      <w:r w:rsidR="00300B9D" w:rsidRPr="00A12BDE">
        <w:rPr>
          <w:sz w:val="22"/>
          <w:szCs w:val="22"/>
        </w:rPr>
        <w:t xml:space="preserve"> in 2017</w:t>
      </w:r>
      <w:r w:rsidR="009E267E" w:rsidRPr="00A12BDE">
        <w:rPr>
          <w:sz w:val="22"/>
          <w:szCs w:val="22"/>
        </w:rPr>
        <w:t>.</w:t>
      </w:r>
      <w:r w:rsidR="00300B9D" w:rsidRPr="00A12BDE">
        <w:rPr>
          <w:sz w:val="22"/>
          <w:szCs w:val="22"/>
        </w:rPr>
        <w:t xml:space="preserve"> Public </w:t>
      </w:r>
      <w:r w:rsidR="009E267E" w:rsidRPr="00A12BDE">
        <w:rPr>
          <w:sz w:val="22"/>
          <w:szCs w:val="22"/>
        </w:rPr>
        <w:t>expenditure on health, as a share of the GDP is growing annually</w:t>
      </w:r>
      <w:r w:rsidR="00300B9D" w:rsidRPr="00A12BDE">
        <w:rPr>
          <w:sz w:val="22"/>
          <w:szCs w:val="22"/>
        </w:rPr>
        <w:t>. I</w:t>
      </w:r>
      <w:r w:rsidR="009E267E" w:rsidRPr="00A12BDE">
        <w:rPr>
          <w:sz w:val="22"/>
          <w:szCs w:val="22"/>
        </w:rPr>
        <w:t xml:space="preserve">n 2012 </w:t>
      </w:r>
      <w:r w:rsidR="00300B9D" w:rsidRPr="00A12BDE">
        <w:rPr>
          <w:sz w:val="22"/>
          <w:szCs w:val="22"/>
        </w:rPr>
        <w:t xml:space="preserve">it was </w:t>
      </w:r>
      <w:r w:rsidR="009E267E" w:rsidRPr="00A12BDE">
        <w:rPr>
          <w:sz w:val="22"/>
          <w:szCs w:val="22"/>
        </w:rPr>
        <w:t xml:space="preserve">1.7%, </w:t>
      </w:r>
      <w:r w:rsidR="00300B9D" w:rsidRPr="00A12BDE">
        <w:rPr>
          <w:sz w:val="22"/>
          <w:szCs w:val="22"/>
        </w:rPr>
        <w:t xml:space="preserve">while </w:t>
      </w:r>
      <w:r w:rsidR="009E267E" w:rsidRPr="00A12BDE">
        <w:rPr>
          <w:sz w:val="22"/>
          <w:szCs w:val="22"/>
        </w:rPr>
        <w:t>in 2017 3%</w:t>
      </w:r>
      <w:r w:rsidR="00300B9D" w:rsidRPr="00A12BDE">
        <w:rPr>
          <w:sz w:val="22"/>
          <w:szCs w:val="22"/>
        </w:rPr>
        <w:t xml:space="preserve">, </w:t>
      </w:r>
      <w:r w:rsidR="009E267E" w:rsidRPr="00A12BDE">
        <w:rPr>
          <w:sz w:val="22"/>
          <w:szCs w:val="22"/>
        </w:rPr>
        <w:t>although, this share is still lower than in Western Europe (EU15</w:t>
      </w:r>
      <w:r w:rsidR="00300B9D" w:rsidRPr="00A12BDE">
        <w:rPr>
          <w:sz w:val="22"/>
          <w:szCs w:val="22"/>
        </w:rPr>
        <w:t xml:space="preserve">, </w:t>
      </w:r>
      <w:r w:rsidR="009E267E" w:rsidRPr="00A12BDE">
        <w:rPr>
          <w:sz w:val="22"/>
          <w:szCs w:val="22"/>
        </w:rPr>
        <w:t>8%</w:t>
      </w:r>
      <w:r w:rsidR="00300B9D" w:rsidRPr="00A12BDE">
        <w:rPr>
          <w:sz w:val="22"/>
          <w:szCs w:val="22"/>
        </w:rPr>
        <w:t>)</w:t>
      </w:r>
      <w:r w:rsidR="009E267E" w:rsidRPr="00A12BDE">
        <w:rPr>
          <w:sz w:val="22"/>
          <w:szCs w:val="22"/>
        </w:rPr>
        <w:t>, EU (EU28</w:t>
      </w:r>
      <w:r w:rsidR="00300B9D" w:rsidRPr="00A12BDE">
        <w:rPr>
          <w:sz w:val="22"/>
          <w:szCs w:val="22"/>
        </w:rPr>
        <w:t xml:space="preserve">, </w:t>
      </w:r>
      <w:r w:rsidR="009E267E" w:rsidRPr="00A12BDE">
        <w:rPr>
          <w:sz w:val="22"/>
          <w:szCs w:val="22"/>
        </w:rPr>
        <w:t>7.3%</w:t>
      </w:r>
      <w:r w:rsidR="00300B9D" w:rsidRPr="00A12BDE">
        <w:rPr>
          <w:sz w:val="22"/>
          <w:szCs w:val="22"/>
        </w:rPr>
        <w:t>)</w:t>
      </w:r>
      <w:r w:rsidR="009E267E" w:rsidRPr="00A12BDE">
        <w:rPr>
          <w:sz w:val="22"/>
          <w:szCs w:val="22"/>
        </w:rPr>
        <w:t xml:space="preserve">, and the average for European 53 countries </w:t>
      </w:r>
      <w:r w:rsidR="00300B9D" w:rsidRPr="00A12BDE">
        <w:rPr>
          <w:sz w:val="22"/>
          <w:szCs w:val="22"/>
        </w:rPr>
        <w:t>(</w:t>
      </w:r>
      <w:r w:rsidR="009E267E" w:rsidRPr="00A12BDE">
        <w:rPr>
          <w:sz w:val="22"/>
          <w:szCs w:val="22"/>
        </w:rPr>
        <w:t>5.7%</w:t>
      </w:r>
      <w:r w:rsidR="00300B9D" w:rsidRPr="00A12BDE">
        <w:rPr>
          <w:sz w:val="22"/>
          <w:szCs w:val="22"/>
        </w:rPr>
        <w:t>)</w:t>
      </w:r>
      <w:r w:rsidR="009E267E" w:rsidRPr="00A12BDE">
        <w:rPr>
          <w:sz w:val="22"/>
          <w:szCs w:val="22"/>
        </w:rPr>
        <w:t>.</w:t>
      </w:r>
      <w:r w:rsidR="009E267E" w:rsidRPr="008E37A0">
        <w:rPr>
          <w:sz w:val="22"/>
          <w:szCs w:val="22"/>
        </w:rPr>
        <w:t xml:space="preserve"> </w:t>
      </w:r>
    </w:p>
    <w:p w14:paraId="7B8FB2FC" w14:textId="66DD2083" w:rsidR="009E267E" w:rsidRPr="008E37A0" w:rsidRDefault="009E267E" w:rsidP="009E267E">
      <w:pPr>
        <w:pStyle w:val="Corpo"/>
        <w:spacing w:before="120" w:after="120"/>
        <w:jc w:val="both"/>
        <w:rPr>
          <w:sz w:val="22"/>
          <w:szCs w:val="22"/>
        </w:rPr>
      </w:pPr>
      <w:r w:rsidRPr="008E37A0">
        <w:rPr>
          <w:sz w:val="22"/>
          <w:szCs w:val="22"/>
        </w:rPr>
        <w:t>In 2012-2017, the sources of healthcare financing were as follows: State</w:t>
      </w:r>
      <w:r w:rsidR="0019409A" w:rsidRPr="008E37A0">
        <w:rPr>
          <w:sz w:val="22"/>
          <w:szCs w:val="22"/>
        </w:rPr>
        <w:t>: 21%</w:t>
      </w:r>
      <w:r w:rsidRPr="008E37A0">
        <w:rPr>
          <w:sz w:val="22"/>
          <w:szCs w:val="22"/>
        </w:rPr>
        <w:t xml:space="preserve"> in 2012 </w:t>
      </w:r>
      <w:r w:rsidR="0019409A" w:rsidRPr="008E37A0">
        <w:rPr>
          <w:sz w:val="22"/>
          <w:szCs w:val="22"/>
        </w:rPr>
        <w:t xml:space="preserve">and 38% </w:t>
      </w:r>
      <w:r w:rsidRPr="008E37A0">
        <w:rPr>
          <w:sz w:val="22"/>
          <w:szCs w:val="22"/>
        </w:rPr>
        <w:t>in 2017</w:t>
      </w:r>
      <w:r w:rsidR="0019409A" w:rsidRPr="008E37A0">
        <w:rPr>
          <w:sz w:val="22"/>
          <w:szCs w:val="22"/>
        </w:rPr>
        <w:t xml:space="preserve">; </w:t>
      </w:r>
      <w:r w:rsidRPr="008E37A0">
        <w:rPr>
          <w:sz w:val="22"/>
          <w:szCs w:val="22"/>
        </w:rPr>
        <w:t>private</w:t>
      </w:r>
      <w:r w:rsidR="0019409A" w:rsidRPr="008E37A0">
        <w:rPr>
          <w:sz w:val="22"/>
          <w:szCs w:val="22"/>
        </w:rPr>
        <w:t>:</w:t>
      </w:r>
      <w:r w:rsidRPr="008E37A0">
        <w:rPr>
          <w:sz w:val="22"/>
          <w:szCs w:val="22"/>
        </w:rPr>
        <w:t xml:space="preserve"> </w:t>
      </w:r>
      <w:r w:rsidR="0019409A" w:rsidRPr="008E37A0">
        <w:rPr>
          <w:sz w:val="22"/>
          <w:szCs w:val="22"/>
        </w:rPr>
        <w:t xml:space="preserve">77% </w:t>
      </w:r>
      <w:r w:rsidRPr="008E37A0">
        <w:rPr>
          <w:sz w:val="22"/>
          <w:szCs w:val="22"/>
        </w:rPr>
        <w:t xml:space="preserve">in 2012 </w:t>
      </w:r>
      <w:r w:rsidR="0019409A" w:rsidRPr="008E37A0">
        <w:rPr>
          <w:sz w:val="22"/>
          <w:szCs w:val="22"/>
        </w:rPr>
        <w:t xml:space="preserve">and 60% </w:t>
      </w:r>
      <w:r w:rsidRPr="008E37A0">
        <w:rPr>
          <w:sz w:val="22"/>
          <w:szCs w:val="22"/>
        </w:rPr>
        <w:t>in 2017</w:t>
      </w:r>
      <w:r w:rsidR="0019409A" w:rsidRPr="008E37A0">
        <w:rPr>
          <w:sz w:val="22"/>
          <w:szCs w:val="22"/>
        </w:rPr>
        <w:t>;</w:t>
      </w:r>
      <w:r w:rsidRPr="008E37A0">
        <w:rPr>
          <w:sz w:val="22"/>
          <w:szCs w:val="22"/>
        </w:rPr>
        <w:t xml:space="preserve"> </w:t>
      </w:r>
      <w:r w:rsidR="0019409A" w:rsidRPr="008E37A0">
        <w:rPr>
          <w:sz w:val="22"/>
          <w:szCs w:val="22"/>
        </w:rPr>
        <w:t xml:space="preserve">external funds: 2.3% </w:t>
      </w:r>
      <w:r w:rsidRPr="008E37A0">
        <w:rPr>
          <w:sz w:val="22"/>
          <w:szCs w:val="22"/>
        </w:rPr>
        <w:t xml:space="preserve">in 2012 </w:t>
      </w:r>
      <w:r w:rsidR="0019409A" w:rsidRPr="008E37A0">
        <w:rPr>
          <w:sz w:val="22"/>
          <w:szCs w:val="22"/>
        </w:rPr>
        <w:t>and 1.7</w:t>
      </w:r>
      <w:r w:rsidRPr="008E37A0">
        <w:rPr>
          <w:sz w:val="22"/>
          <w:szCs w:val="22"/>
        </w:rPr>
        <w:t>% in 2017. Out-of</w:t>
      </w:r>
      <w:r w:rsidR="0019409A" w:rsidRPr="008E37A0">
        <w:rPr>
          <w:sz w:val="22"/>
          <w:szCs w:val="22"/>
        </w:rPr>
        <w:t>-</w:t>
      </w:r>
      <w:r w:rsidRPr="008E37A0">
        <w:rPr>
          <w:sz w:val="22"/>
          <w:szCs w:val="22"/>
        </w:rPr>
        <w:t>pocket payments constituted the highest share of private expenditure, of which only 7% was spent on direct insurance payments, the rest funds were spent on healthcare services</w:t>
      </w:r>
      <w:r w:rsidR="0019409A" w:rsidRPr="008E37A0">
        <w:rPr>
          <w:sz w:val="22"/>
          <w:szCs w:val="22"/>
        </w:rPr>
        <w:t xml:space="preserve"> in 2017</w:t>
      </w:r>
      <w:r w:rsidR="0019409A" w:rsidRPr="008E37A0">
        <w:rPr>
          <w:rStyle w:val="Lbjegyzet-hivatkozs"/>
          <w:sz w:val="22"/>
          <w:szCs w:val="22"/>
        </w:rPr>
        <w:footnoteReference w:id="12"/>
      </w:r>
      <w:r w:rsidRPr="008E37A0">
        <w:rPr>
          <w:sz w:val="22"/>
          <w:szCs w:val="22"/>
        </w:rPr>
        <w:t xml:space="preserve">. </w:t>
      </w:r>
    </w:p>
    <w:p w14:paraId="017A1402" w14:textId="35A89131" w:rsidR="009E61A1" w:rsidRPr="008E37A0" w:rsidRDefault="009E61A1" w:rsidP="00962209">
      <w:pPr>
        <w:pStyle w:val="Corpo"/>
        <w:spacing w:before="120" w:after="120"/>
        <w:jc w:val="both"/>
        <w:rPr>
          <w:sz w:val="22"/>
          <w:szCs w:val="22"/>
        </w:rPr>
      </w:pPr>
      <w:r w:rsidRPr="008E37A0">
        <w:rPr>
          <w:sz w:val="22"/>
          <w:szCs w:val="22"/>
        </w:rPr>
        <w:t>Since 2013, Georgia has been making significant improvements in health financing policy by extending population entitlement to publicly financed health care and gradually increasing public funding of the health system. The SSA acts as a single purchasing agency for the health sector, an approach in line with European and global best practices.</w:t>
      </w:r>
      <w:r w:rsidR="00962209" w:rsidRPr="008E37A0">
        <w:rPr>
          <w:sz w:val="22"/>
          <w:szCs w:val="22"/>
        </w:rPr>
        <w:t xml:space="preserve"> T</w:t>
      </w:r>
      <w:r w:rsidRPr="008E37A0">
        <w:rPr>
          <w:sz w:val="22"/>
          <w:szCs w:val="22"/>
        </w:rPr>
        <w:t>hese reforms have led to progress in meeting the goal of UHC in Georgia: they have increased access to health services and improved financial protection in areas targeted for expanded coverage.</w:t>
      </w:r>
    </w:p>
    <w:p w14:paraId="14B2D650" w14:textId="2DFD591B" w:rsidR="009E61A1" w:rsidRPr="008E37A0" w:rsidRDefault="009E61A1" w:rsidP="009E61A1">
      <w:pPr>
        <w:pStyle w:val="Corpo"/>
        <w:spacing w:after="120"/>
        <w:jc w:val="both"/>
        <w:rPr>
          <w:sz w:val="22"/>
          <w:szCs w:val="22"/>
        </w:rPr>
      </w:pPr>
      <w:r w:rsidRPr="008E37A0">
        <w:rPr>
          <w:sz w:val="22"/>
          <w:szCs w:val="22"/>
        </w:rPr>
        <w:t>Since 2013, the SSA has introduced new systems and methods to manage the flow of funds to providers. The MoIDPLHSA has introduced several reforms to strengthen the capacity of the SSA to strategically purchase health care for the population. Remarkable progress has been made so far, but more can be done.</w:t>
      </w:r>
      <w:r w:rsidR="00962209" w:rsidRPr="008E37A0">
        <w:rPr>
          <w:sz w:val="22"/>
          <w:szCs w:val="22"/>
        </w:rPr>
        <w:t xml:space="preserve"> </w:t>
      </w:r>
      <w:r w:rsidRPr="008E37A0">
        <w:rPr>
          <w:sz w:val="22"/>
          <w:szCs w:val="22"/>
        </w:rPr>
        <w:t>In response, WHO/Europe has scaled up its support to Georgia. Through the UHC Partnership, supported by the European Union, the Grand Duchy of Luxembourg and WHO, it is providing technical assistance to the Ministry to strengthen strategic purchasing.</w:t>
      </w:r>
    </w:p>
    <w:p w14:paraId="2BD480F9" w14:textId="77777777" w:rsidR="009E61A1" w:rsidRPr="008E37A0" w:rsidRDefault="009E61A1" w:rsidP="009E61A1">
      <w:pPr>
        <w:pStyle w:val="Corpo"/>
        <w:spacing w:after="120"/>
        <w:jc w:val="both"/>
        <w:rPr>
          <w:sz w:val="22"/>
          <w:szCs w:val="22"/>
        </w:rPr>
      </w:pPr>
      <w:r w:rsidRPr="008E37A0">
        <w:rPr>
          <w:sz w:val="22"/>
          <w:szCs w:val="22"/>
        </w:rPr>
        <w:t>Key areas that should be addressed through additional technical assistance might be as follows:</w:t>
      </w:r>
    </w:p>
    <w:p w14:paraId="7156DEF8" w14:textId="304F191A" w:rsidR="00071BE0" w:rsidRPr="008E37A0" w:rsidRDefault="00071BE0" w:rsidP="00B76ECC">
      <w:pPr>
        <w:pStyle w:val="Corpo"/>
        <w:numPr>
          <w:ilvl w:val="0"/>
          <w:numId w:val="21"/>
        </w:numPr>
        <w:spacing w:after="120"/>
        <w:jc w:val="both"/>
        <w:rPr>
          <w:sz w:val="22"/>
          <w:szCs w:val="22"/>
        </w:rPr>
      </w:pPr>
      <w:r w:rsidRPr="008E37A0">
        <w:rPr>
          <w:sz w:val="22"/>
          <w:szCs w:val="22"/>
        </w:rPr>
        <w:t>development of approaches and methodology for introduction of clinical pathways for selected priority clinical areas and developing tools to support their implementation;</w:t>
      </w:r>
    </w:p>
    <w:p w14:paraId="126495FE" w14:textId="77777777" w:rsidR="009E61A1" w:rsidRPr="008E37A0" w:rsidRDefault="009E61A1" w:rsidP="00B76ECC">
      <w:pPr>
        <w:pStyle w:val="Corpo"/>
        <w:numPr>
          <w:ilvl w:val="0"/>
          <w:numId w:val="21"/>
        </w:numPr>
        <w:spacing w:after="120"/>
        <w:jc w:val="both"/>
        <w:rPr>
          <w:sz w:val="22"/>
          <w:szCs w:val="22"/>
        </w:rPr>
      </w:pPr>
      <w:r w:rsidRPr="008E37A0">
        <w:rPr>
          <w:sz w:val="22"/>
          <w:szCs w:val="22"/>
        </w:rPr>
        <w:t>developing strategy for strategic purchasing and building the capacities of SSA to implement it;</w:t>
      </w:r>
    </w:p>
    <w:p w14:paraId="0314D268" w14:textId="26D6A44D" w:rsidR="00071BE0" w:rsidRPr="008E37A0" w:rsidRDefault="00071BE0" w:rsidP="00B76ECC">
      <w:pPr>
        <w:pStyle w:val="Corpo"/>
        <w:numPr>
          <w:ilvl w:val="0"/>
          <w:numId w:val="21"/>
        </w:numPr>
        <w:spacing w:after="120"/>
        <w:jc w:val="both"/>
        <w:rPr>
          <w:sz w:val="22"/>
          <w:szCs w:val="22"/>
        </w:rPr>
      </w:pPr>
      <w:r w:rsidRPr="008E37A0">
        <w:rPr>
          <w:sz w:val="22"/>
          <w:szCs w:val="22"/>
        </w:rPr>
        <w:t>supporting the implementation of diagnosis-related groups to enhance transparency in provider payment and support strategic purchasing</w:t>
      </w:r>
      <w:r w:rsidR="00E92378" w:rsidRPr="008E37A0">
        <w:rPr>
          <w:sz w:val="22"/>
          <w:szCs w:val="22"/>
        </w:rPr>
        <w:t>.</w:t>
      </w:r>
    </w:p>
    <w:p w14:paraId="321DAEE9" w14:textId="0BC0C959" w:rsidR="00F13A7F" w:rsidRPr="008E37A0" w:rsidRDefault="00F13A7F" w:rsidP="00F13A7F">
      <w:pPr>
        <w:pStyle w:val="Corpo"/>
        <w:spacing w:after="120"/>
        <w:jc w:val="both"/>
        <w:rPr>
          <w:sz w:val="22"/>
          <w:szCs w:val="22"/>
        </w:rPr>
      </w:pPr>
      <w:r w:rsidRPr="00A12BDE">
        <w:rPr>
          <w:sz w:val="22"/>
          <w:szCs w:val="22"/>
        </w:rPr>
        <w:t>The</w:t>
      </w:r>
      <w:r w:rsidR="00144440" w:rsidRPr="00A12BDE">
        <w:rPr>
          <w:sz w:val="22"/>
          <w:szCs w:val="22"/>
        </w:rPr>
        <w:t xml:space="preserve"> Diagnosis Related Groups</w:t>
      </w:r>
      <w:r w:rsidRPr="00A12BDE">
        <w:rPr>
          <w:sz w:val="22"/>
          <w:szCs w:val="22"/>
        </w:rPr>
        <w:t xml:space="preserve"> </w:t>
      </w:r>
      <w:r w:rsidR="00144440" w:rsidRPr="00A12BDE">
        <w:rPr>
          <w:sz w:val="22"/>
          <w:szCs w:val="22"/>
        </w:rPr>
        <w:t>(</w:t>
      </w:r>
      <w:r w:rsidRPr="00A12BDE">
        <w:rPr>
          <w:sz w:val="22"/>
          <w:szCs w:val="22"/>
        </w:rPr>
        <w:t>DRG</w:t>
      </w:r>
      <w:r w:rsidR="00144440" w:rsidRPr="00A12BDE">
        <w:rPr>
          <w:sz w:val="22"/>
          <w:szCs w:val="22"/>
        </w:rPr>
        <w:t>)</w:t>
      </w:r>
      <w:r w:rsidRPr="00A12BDE">
        <w:rPr>
          <w:sz w:val="22"/>
          <w:szCs w:val="22"/>
        </w:rPr>
        <w:t xml:space="preserve"> system categorizes patients treated at hospital into similar diagnosis groups and then relate each group to the costs or resources it takes to treat them. The grouping takes into account the patients’ principal diagnosis, age, sex, complications, comorbidities, procedures and other factors. Patients under one DRG will require approximately similar hospital resources, and therefore similar funding. Implementing the DRG system will improve the efficient use of resources within a hospital, increase the transparency of hospital services, and enable the SSA to monitor the performance of hospitals, thereby contributing to improving the level of quality of care. Introducing DRG based payment and a strategic purchasing system will ensure delivery of cost-effective, transparent and patient-oriented quality health services without people experiencing financial hardship.</w:t>
      </w:r>
      <w:r w:rsidRPr="008E37A0">
        <w:rPr>
          <w:sz w:val="22"/>
          <w:szCs w:val="22"/>
        </w:rPr>
        <w:t xml:space="preserve"> </w:t>
      </w:r>
    </w:p>
    <w:p w14:paraId="2B784678" w14:textId="54EC24F9" w:rsidR="00916411" w:rsidRPr="008E37A0" w:rsidRDefault="00DF7D72" w:rsidP="00C24EE2">
      <w:pPr>
        <w:pStyle w:val="Corpo"/>
        <w:spacing w:before="120" w:after="120"/>
        <w:jc w:val="both"/>
        <w:rPr>
          <w:sz w:val="22"/>
          <w:szCs w:val="22"/>
        </w:rPr>
      </w:pPr>
      <w:r w:rsidRPr="008E37A0">
        <w:rPr>
          <w:b/>
          <w:bCs/>
          <w:sz w:val="22"/>
          <w:szCs w:val="22"/>
        </w:rPr>
        <w:lastRenderedPageBreak/>
        <w:t>Primary Health Care:</w:t>
      </w:r>
      <w:r w:rsidRPr="008E37A0">
        <w:rPr>
          <w:sz w:val="22"/>
          <w:szCs w:val="22"/>
        </w:rPr>
        <w:t xml:space="preserve"> </w:t>
      </w:r>
      <w:r w:rsidR="00E360A2" w:rsidRPr="008E37A0">
        <w:rPr>
          <w:sz w:val="22"/>
          <w:szCs w:val="22"/>
        </w:rPr>
        <w:t xml:space="preserve">Georgia </w:t>
      </w:r>
      <w:r w:rsidR="000A3A26" w:rsidRPr="008E37A0">
        <w:rPr>
          <w:sz w:val="22"/>
          <w:szCs w:val="22"/>
        </w:rPr>
        <w:t xml:space="preserve">has been </w:t>
      </w:r>
      <w:r w:rsidR="00E360A2" w:rsidRPr="008E37A0">
        <w:rPr>
          <w:sz w:val="22"/>
          <w:szCs w:val="22"/>
        </w:rPr>
        <w:t>striving to strengthen primary health care</w:t>
      </w:r>
      <w:r w:rsidR="000A3A26" w:rsidRPr="008E37A0">
        <w:rPr>
          <w:sz w:val="22"/>
          <w:szCs w:val="22"/>
        </w:rPr>
        <w:t xml:space="preserve"> and </w:t>
      </w:r>
      <w:r w:rsidR="00E360A2" w:rsidRPr="008E37A0">
        <w:rPr>
          <w:sz w:val="22"/>
          <w:szCs w:val="22"/>
        </w:rPr>
        <w:t>PHC reforms have been an integral part of health sector reforms, which in turn have been greatly influenced by the political developments that have taken place in Georgia.</w:t>
      </w:r>
      <w:r w:rsidR="00916411" w:rsidRPr="008E37A0">
        <w:rPr>
          <w:sz w:val="22"/>
          <w:szCs w:val="22"/>
        </w:rPr>
        <w:t xml:space="preserve"> The latest phase of PHC reforms started in 2013 in line with the Universal Health C</w:t>
      </w:r>
      <w:r w:rsidR="00144440" w:rsidRPr="008E37A0">
        <w:rPr>
          <w:sz w:val="22"/>
          <w:szCs w:val="22"/>
        </w:rPr>
        <w:t>are</w:t>
      </w:r>
      <w:r w:rsidR="00916411" w:rsidRPr="008E37A0">
        <w:rPr>
          <w:sz w:val="22"/>
          <w:szCs w:val="22"/>
        </w:rPr>
        <w:t xml:space="preserve"> Programme </w:t>
      </w:r>
      <w:r w:rsidR="00C24EE2" w:rsidRPr="008E37A0">
        <w:rPr>
          <w:sz w:val="22"/>
          <w:szCs w:val="22"/>
        </w:rPr>
        <w:t xml:space="preserve">that </w:t>
      </w:r>
      <w:r w:rsidR="00916411" w:rsidRPr="008E37A0">
        <w:rPr>
          <w:sz w:val="22"/>
          <w:szCs w:val="22"/>
        </w:rPr>
        <w:t xml:space="preserve">was particularly focusing on the population that was not covered by private insurance schemes. Another objective was the reversion to centralized administration of </w:t>
      </w:r>
      <w:r w:rsidR="00144440" w:rsidRPr="008E37A0">
        <w:rPr>
          <w:sz w:val="22"/>
          <w:szCs w:val="22"/>
        </w:rPr>
        <w:t>s</w:t>
      </w:r>
      <w:r w:rsidR="00916411" w:rsidRPr="008E37A0">
        <w:rPr>
          <w:sz w:val="22"/>
          <w:szCs w:val="22"/>
        </w:rPr>
        <w:t xml:space="preserve">tate programmes, as the participation of private insurance companies was not considered to be cost-effective. As a result, the </w:t>
      </w:r>
      <w:r w:rsidR="00C24EE2" w:rsidRPr="008E37A0">
        <w:rPr>
          <w:sz w:val="22"/>
          <w:szCs w:val="22"/>
        </w:rPr>
        <w:t xml:space="preserve">financial </w:t>
      </w:r>
      <w:r w:rsidR="00916411" w:rsidRPr="008E37A0">
        <w:rPr>
          <w:sz w:val="22"/>
          <w:szCs w:val="22"/>
        </w:rPr>
        <w:t>administration became the responsibility of the State</w:t>
      </w:r>
      <w:r w:rsidR="00C24EE2" w:rsidRPr="008E37A0">
        <w:rPr>
          <w:sz w:val="22"/>
          <w:szCs w:val="22"/>
        </w:rPr>
        <w:t xml:space="preserve"> represented by </w:t>
      </w:r>
      <w:r w:rsidR="00916411" w:rsidRPr="008E37A0">
        <w:rPr>
          <w:sz w:val="22"/>
          <w:szCs w:val="22"/>
        </w:rPr>
        <w:t>the Social Service Agency. The Universal Health C</w:t>
      </w:r>
      <w:r w:rsidR="00144440" w:rsidRPr="008E37A0">
        <w:rPr>
          <w:sz w:val="22"/>
          <w:szCs w:val="22"/>
        </w:rPr>
        <w:t>are</w:t>
      </w:r>
      <w:r w:rsidR="00916411" w:rsidRPr="008E37A0">
        <w:rPr>
          <w:sz w:val="22"/>
          <w:szCs w:val="22"/>
        </w:rPr>
        <w:t xml:space="preserve"> Programme diminished the role of private insurance companies, as the government funds flow directly to health care providers.</w:t>
      </w:r>
      <w:r w:rsidR="00C24EE2" w:rsidRPr="008E37A0">
        <w:rPr>
          <w:sz w:val="22"/>
          <w:szCs w:val="22"/>
        </w:rPr>
        <w:t xml:space="preserve"> </w:t>
      </w:r>
      <w:r w:rsidR="00916411" w:rsidRPr="008E37A0">
        <w:rPr>
          <w:sz w:val="22"/>
          <w:szCs w:val="22"/>
        </w:rPr>
        <w:t>In mid-2017 the government introduced a differentiated approach for Universal Health C</w:t>
      </w:r>
      <w:r w:rsidR="00144440" w:rsidRPr="008E37A0">
        <w:rPr>
          <w:sz w:val="22"/>
          <w:szCs w:val="22"/>
        </w:rPr>
        <w:t>are</w:t>
      </w:r>
      <w:r w:rsidR="00916411" w:rsidRPr="008E37A0">
        <w:rPr>
          <w:sz w:val="22"/>
          <w:szCs w:val="22"/>
        </w:rPr>
        <w:t xml:space="preserve"> Programme benefits, including improved drug benefits for chronic disease management among the poor population.</w:t>
      </w:r>
    </w:p>
    <w:p w14:paraId="7CB43DA9" w14:textId="490F607B" w:rsidR="00916411" w:rsidRPr="008E37A0" w:rsidRDefault="002B5B3F" w:rsidP="00916411">
      <w:pPr>
        <w:pStyle w:val="Corpo"/>
        <w:spacing w:before="120" w:after="120"/>
        <w:jc w:val="both"/>
        <w:rPr>
          <w:sz w:val="22"/>
          <w:szCs w:val="22"/>
        </w:rPr>
      </w:pPr>
      <w:r w:rsidRPr="008E37A0">
        <w:rPr>
          <w:sz w:val="22"/>
          <w:szCs w:val="22"/>
        </w:rPr>
        <w:t xml:space="preserve">Rationale behind </w:t>
      </w:r>
      <w:r w:rsidR="0024094E" w:rsidRPr="008E37A0">
        <w:rPr>
          <w:sz w:val="22"/>
          <w:szCs w:val="22"/>
        </w:rPr>
        <w:t>the most recent developments were as follows:</w:t>
      </w:r>
    </w:p>
    <w:p w14:paraId="0D2EBBE6" w14:textId="5B8608BD" w:rsidR="0024094E" w:rsidRPr="008E37A0" w:rsidRDefault="0024094E" w:rsidP="00B76ECC">
      <w:pPr>
        <w:pStyle w:val="Corpo"/>
        <w:numPr>
          <w:ilvl w:val="0"/>
          <w:numId w:val="24"/>
        </w:numPr>
        <w:spacing w:before="120" w:after="120"/>
        <w:ind w:left="709" w:hanging="283"/>
        <w:jc w:val="both"/>
        <w:rPr>
          <w:sz w:val="22"/>
          <w:szCs w:val="22"/>
        </w:rPr>
      </w:pPr>
      <w:r w:rsidRPr="008E37A0">
        <w:rPr>
          <w:sz w:val="22"/>
          <w:szCs w:val="22"/>
        </w:rPr>
        <w:t>Policy planning did not build on performance assessment and scientific evidence was not considered in programme design and implementation;</w:t>
      </w:r>
    </w:p>
    <w:p w14:paraId="33BEA3FB" w14:textId="3CE04356" w:rsidR="000A3A26" w:rsidRPr="008E37A0" w:rsidRDefault="0024094E" w:rsidP="00B76ECC">
      <w:pPr>
        <w:pStyle w:val="Corpo"/>
        <w:numPr>
          <w:ilvl w:val="0"/>
          <w:numId w:val="24"/>
        </w:numPr>
        <w:spacing w:before="120" w:after="120"/>
        <w:ind w:left="709" w:hanging="283"/>
        <w:jc w:val="both"/>
        <w:rPr>
          <w:sz w:val="22"/>
          <w:szCs w:val="22"/>
        </w:rPr>
      </w:pPr>
      <w:r w:rsidRPr="008E37A0">
        <w:rPr>
          <w:sz w:val="22"/>
          <w:szCs w:val="22"/>
        </w:rPr>
        <w:t>Population was not aware of the composition of PHC benefit package</w:t>
      </w:r>
      <w:r w:rsidR="000A3A26" w:rsidRPr="008E37A0">
        <w:rPr>
          <w:sz w:val="22"/>
          <w:szCs w:val="22"/>
        </w:rPr>
        <w:t xml:space="preserve"> at </w:t>
      </w:r>
      <w:r w:rsidRPr="008E37A0">
        <w:rPr>
          <w:sz w:val="22"/>
          <w:szCs w:val="22"/>
        </w:rPr>
        <w:t>start of U</w:t>
      </w:r>
      <w:r w:rsidR="00144440" w:rsidRPr="008E37A0">
        <w:rPr>
          <w:sz w:val="22"/>
          <w:szCs w:val="22"/>
        </w:rPr>
        <w:t xml:space="preserve">niversal </w:t>
      </w:r>
      <w:r w:rsidRPr="008E37A0">
        <w:rPr>
          <w:sz w:val="22"/>
          <w:szCs w:val="22"/>
        </w:rPr>
        <w:t>H</w:t>
      </w:r>
      <w:r w:rsidR="00144440" w:rsidRPr="008E37A0">
        <w:rPr>
          <w:sz w:val="22"/>
          <w:szCs w:val="22"/>
        </w:rPr>
        <w:t xml:space="preserve">ealth </w:t>
      </w:r>
      <w:r w:rsidRPr="008E37A0">
        <w:rPr>
          <w:sz w:val="22"/>
          <w:szCs w:val="22"/>
        </w:rPr>
        <w:t>C</w:t>
      </w:r>
      <w:r w:rsidR="00144440" w:rsidRPr="008E37A0">
        <w:rPr>
          <w:sz w:val="22"/>
          <w:szCs w:val="22"/>
        </w:rPr>
        <w:t>are</w:t>
      </w:r>
      <w:r w:rsidRPr="008E37A0">
        <w:rPr>
          <w:sz w:val="22"/>
          <w:szCs w:val="22"/>
        </w:rPr>
        <w:t xml:space="preserve"> Programme;</w:t>
      </w:r>
    </w:p>
    <w:p w14:paraId="6A151B67" w14:textId="77777777" w:rsidR="002B5B3F" w:rsidRPr="008E37A0" w:rsidRDefault="002B5B3F" w:rsidP="00B76ECC">
      <w:pPr>
        <w:pStyle w:val="Corpo"/>
        <w:numPr>
          <w:ilvl w:val="0"/>
          <w:numId w:val="24"/>
        </w:numPr>
        <w:spacing w:before="120" w:after="120"/>
        <w:ind w:left="709" w:hanging="283"/>
        <w:jc w:val="both"/>
        <w:rPr>
          <w:sz w:val="22"/>
          <w:szCs w:val="22"/>
        </w:rPr>
      </w:pPr>
      <w:r w:rsidRPr="008E37A0">
        <w:rPr>
          <w:sz w:val="22"/>
          <w:szCs w:val="22"/>
        </w:rPr>
        <w:t>PHC gatekeeping role was inefficient and programme design was discouraging patients using PHC services;</w:t>
      </w:r>
    </w:p>
    <w:p w14:paraId="1E4EE567" w14:textId="77777777" w:rsidR="0024094E" w:rsidRPr="008E37A0" w:rsidRDefault="0024094E" w:rsidP="00B76ECC">
      <w:pPr>
        <w:pStyle w:val="Corpo"/>
        <w:numPr>
          <w:ilvl w:val="0"/>
          <w:numId w:val="24"/>
        </w:numPr>
        <w:spacing w:before="120" w:after="120"/>
        <w:ind w:left="709" w:hanging="283"/>
        <w:jc w:val="both"/>
        <w:rPr>
          <w:sz w:val="22"/>
          <w:szCs w:val="22"/>
        </w:rPr>
      </w:pPr>
      <w:r w:rsidRPr="008E37A0">
        <w:rPr>
          <w:sz w:val="22"/>
          <w:szCs w:val="22"/>
        </w:rPr>
        <w:t>Preventive services were underutilized;</w:t>
      </w:r>
    </w:p>
    <w:p w14:paraId="42FF572F" w14:textId="77777777" w:rsidR="002B5B3F" w:rsidRPr="008E37A0" w:rsidRDefault="002B5B3F" w:rsidP="00B76ECC">
      <w:pPr>
        <w:pStyle w:val="Corpo"/>
        <w:numPr>
          <w:ilvl w:val="0"/>
          <w:numId w:val="24"/>
        </w:numPr>
        <w:spacing w:before="120" w:after="120"/>
        <w:ind w:left="709" w:hanging="283"/>
        <w:jc w:val="both"/>
        <w:rPr>
          <w:sz w:val="22"/>
          <w:szCs w:val="22"/>
        </w:rPr>
      </w:pPr>
      <w:r w:rsidRPr="008E37A0">
        <w:rPr>
          <w:sz w:val="22"/>
          <w:szCs w:val="22"/>
        </w:rPr>
        <w:t>Financial resources for PHC were insufficient (i.e. per capita cost rate did not reflect real service costs and remained as low as in 2001);</w:t>
      </w:r>
    </w:p>
    <w:p w14:paraId="33A5979F" w14:textId="79E2C6E6" w:rsidR="000A3A26" w:rsidRPr="008E37A0" w:rsidRDefault="0024094E" w:rsidP="00B76ECC">
      <w:pPr>
        <w:pStyle w:val="Corpo"/>
        <w:numPr>
          <w:ilvl w:val="0"/>
          <w:numId w:val="24"/>
        </w:numPr>
        <w:spacing w:before="120" w:after="120"/>
        <w:ind w:left="709" w:hanging="283"/>
        <w:jc w:val="both"/>
        <w:rPr>
          <w:sz w:val="22"/>
          <w:szCs w:val="22"/>
        </w:rPr>
      </w:pPr>
      <w:r w:rsidRPr="008E37A0">
        <w:rPr>
          <w:sz w:val="22"/>
          <w:szCs w:val="22"/>
        </w:rPr>
        <w:t>A</w:t>
      </w:r>
      <w:r w:rsidR="000A3A26" w:rsidRPr="008E37A0">
        <w:rPr>
          <w:sz w:val="22"/>
          <w:szCs w:val="22"/>
        </w:rPr>
        <w:t>dministrative capacity of S</w:t>
      </w:r>
      <w:r w:rsidR="00144440" w:rsidRPr="008E37A0">
        <w:rPr>
          <w:sz w:val="22"/>
          <w:szCs w:val="22"/>
        </w:rPr>
        <w:t>SA</w:t>
      </w:r>
      <w:r w:rsidR="000A3A26" w:rsidRPr="008E37A0">
        <w:rPr>
          <w:sz w:val="22"/>
          <w:szCs w:val="22"/>
        </w:rPr>
        <w:t xml:space="preserve"> to </w:t>
      </w:r>
      <w:r w:rsidRPr="008E37A0">
        <w:rPr>
          <w:sz w:val="22"/>
          <w:szCs w:val="22"/>
        </w:rPr>
        <w:t>successfully implement U</w:t>
      </w:r>
      <w:r w:rsidR="00144440" w:rsidRPr="008E37A0">
        <w:rPr>
          <w:sz w:val="22"/>
          <w:szCs w:val="22"/>
        </w:rPr>
        <w:t xml:space="preserve">niversal </w:t>
      </w:r>
      <w:r w:rsidRPr="008E37A0">
        <w:rPr>
          <w:sz w:val="22"/>
          <w:szCs w:val="22"/>
        </w:rPr>
        <w:t>H</w:t>
      </w:r>
      <w:r w:rsidR="00144440" w:rsidRPr="008E37A0">
        <w:rPr>
          <w:sz w:val="22"/>
          <w:szCs w:val="22"/>
        </w:rPr>
        <w:t xml:space="preserve">ealth </w:t>
      </w:r>
      <w:r w:rsidRPr="008E37A0">
        <w:rPr>
          <w:sz w:val="22"/>
          <w:szCs w:val="22"/>
        </w:rPr>
        <w:t>C</w:t>
      </w:r>
      <w:r w:rsidR="00144440" w:rsidRPr="008E37A0">
        <w:rPr>
          <w:sz w:val="22"/>
          <w:szCs w:val="22"/>
        </w:rPr>
        <w:t>are</w:t>
      </w:r>
      <w:r w:rsidRPr="008E37A0">
        <w:rPr>
          <w:sz w:val="22"/>
          <w:szCs w:val="22"/>
        </w:rPr>
        <w:t xml:space="preserve"> Programme was insufficient;</w:t>
      </w:r>
    </w:p>
    <w:p w14:paraId="09860003" w14:textId="60988373" w:rsidR="000A3A26" w:rsidRPr="008E37A0" w:rsidRDefault="0024094E" w:rsidP="00B76ECC">
      <w:pPr>
        <w:pStyle w:val="Corpo"/>
        <w:numPr>
          <w:ilvl w:val="0"/>
          <w:numId w:val="24"/>
        </w:numPr>
        <w:spacing w:before="120" w:after="120"/>
        <w:ind w:left="709" w:hanging="283"/>
        <w:jc w:val="both"/>
        <w:rPr>
          <w:sz w:val="22"/>
          <w:szCs w:val="22"/>
        </w:rPr>
      </w:pPr>
      <w:r w:rsidRPr="008E37A0">
        <w:rPr>
          <w:sz w:val="22"/>
          <w:szCs w:val="22"/>
        </w:rPr>
        <w:t>M</w:t>
      </w:r>
      <w:r w:rsidR="000A3A26" w:rsidRPr="008E37A0">
        <w:rPr>
          <w:sz w:val="22"/>
          <w:szCs w:val="22"/>
        </w:rPr>
        <w:t xml:space="preserve">onitoring and evaluation </w:t>
      </w:r>
      <w:r w:rsidRPr="008E37A0">
        <w:rPr>
          <w:sz w:val="22"/>
          <w:szCs w:val="22"/>
        </w:rPr>
        <w:t>mechanisms were mission in PHC.</w:t>
      </w:r>
    </w:p>
    <w:p w14:paraId="414F50C2" w14:textId="449471AA" w:rsidR="00B61DAA" w:rsidRPr="008E37A0" w:rsidRDefault="00B61DAA" w:rsidP="00B61DAA">
      <w:pPr>
        <w:pStyle w:val="Corpo"/>
        <w:spacing w:before="120" w:after="120"/>
        <w:jc w:val="both"/>
        <w:rPr>
          <w:sz w:val="22"/>
          <w:szCs w:val="22"/>
        </w:rPr>
      </w:pPr>
      <w:r w:rsidRPr="008E37A0">
        <w:rPr>
          <w:sz w:val="22"/>
          <w:szCs w:val="22"/>
        </w:rPr>
        <w:t>Universal Health Care Programme increased PHC utilization especially among previously uninsured population, but failed to reduce financial risks due to uncovered drug benefits for chronically ill. Therefore, the recent PHC reform considered and included policy-driven decision making with high political commitment and increased allocations of public financing for Universal Health C</w:t>
      </w:r>
      <w:r w:rsidR="00144440" w:rsidRPr="008E37A0">
        <w:rPr>
          <w:sz w:val="22"/>
          <w:szCs w:val="22"/>
        </w:rPr>
        <w:t>are</w:t>
      </w:r>
      <w:r w:rsidRPr="008E37A0">
        <w:rPr>
          <w:sz w:val="22"/>
          <w:szCs w:val="22"/>
        </w:rPr>
        <w:t xml:space="preserve"> Programme, in addition to improved drug benefits for chronically ill from July 2017</w:t>
      </w:r>
      <w:r w:rsidR="00AD1E30" w:rsidRPr="008E37A0">
        <w:rPr>
          <w:rStyle w:val="Lbjegyzet-hivatkozs"/>
          <w:sz w:val="22"/>
          <w:szCs w:val="22"/>
        </w:rPr>
        <w:footnoteReference w:id="13"/>
      </w:r>
      <w:r w:rsidRPr="008E37A0">
        <w:rPr>
          <w:sz w:val="22"/>
          <w:szCs w:val="22"/>
        </w:rPr>
        <w:t xml:space="preserve">. </w:t>
      </w:r>
    </w:p>
    <w:p w14:paraId="5E33D05C" w14:textId="6506D548" w:rsidR="00B93153" w:rsidRPr="008E37A0" w:rsidRDefault="00B93153" w:rsidP="00B93153">
      <w:pPr>
        <w:pStyle w:val="Corpo"/>
        <w:spacing w:before="120" w:after="120"/>
        <w:jc w:val="both"/>
        <w:rPr>
          <w:sz w:val="22"/>
          <w:szCs w:val="22"/>
        </w:rPr>
      </w:pPr>
      <w:r w:rsidRPr="00A12BDE">
        <w:rPr>
          <w:b/>
          <w:bCs/>
          <w:sz w:val="22"/>
          <w:szCs w:val="22"/>
        </w:rPr>
        <w:t>Non-communicable diseases</w:t>
      </w:r>
      <w:r w:rsidRPr="00A12BDE">
        <w:rPr>
          <w:sz w:val="22"/>
          <w:szCs w:val="22"/>
        </w:rPr>
        <w:t xml:space="preserve"> </w:t>
      </w:r>
      <w:r w:rsidR="00144440" w:rsidRPr="00A12BDE">
        <w:rPr>
          <w:sz w:val="22"/>
          <w:szCs w:val="22"/>
        </w:rPr>
        <w:t xml:space="preserve">(NCDs) </w:t>
      </w:r>
      <w:r w:rsidRPr="00A12BDE">
        <w:rPr>
          <w:sz w:val="22"/>
          <w:szCs w:val="22"/>
        </w:rPr>
        <w:t>affect not only health, but also the country's sustainable development. Effective prevention and control of non-communicable diseases requires access to accurate and reliable information, monitoring and identification of health indicators, monitoring and evaluation of interventions.</w:t>
      </w:r>
      <w:r w:rsidRPr="008E37A0">
        <w:rPr>
          <w:sz w:val="22"/>
          <w:szCs w:val="22"/>
        </w:rPr>
        <w:t xml:space="preserve"> </w:t>
      </w:r>
    </w:p>
    <w:p w14:paraId="25723989" w14:textId="7B87B5F9" w:rsidR="00E360A2" w:rsidRPr="008E37A0" w:rsidRDefault="00B93153" w:rsidP="00B93153">
      <w:pPr>
        <w:pStyle w:val="Corpo"/>
        <w:spacing w:before="120" w:after="120"/>
        <w:jc w:val="both"/>
        <w:rPr>
          <w:sz w:val="22"/>
          <w:szCs w:val="22"/>
        </w:rPr>
      </w:pPr>
      <w:r w:rsidRPr="00A12BDE">
        <w:rPr>
          <w:sz w:val="22"/>
          <w:szCs w:val="22"/>
        </w:rPr>
        <w:t>Georgia has adopted the WHO</w:t>
      </w:r>
      <w:r w:rsidR="00391973" w:rsidRPr="00A12BDE">
        <w:rPr>
          <w:sz w:val="22"/>
          <w:szCs w:val="22"/>
        </w:rPr>
        <w:t xml:space="preserve"> </w:t>
      </w:r>
      <w:r w:rsidR="00144440" w:rsidRPr="00A12BDE">
        <w:rPr>
          <w:sz w:val="22"/>
          <w:szCs w:val="22"/>
        </w:rPr>
        <w:t>STEPwise approach to noncommunicable diseases risk factors surveillance</w:t>
      </w:r>
      <w:r w:rsidR="00391973" w:rsidRPr="00A12BDE">
        <w:rPr>
          <w:sz w:val="22"/>
          <w:szCs w:val="22"/>
        </w:rPr>
        <w:t xml:space="preserve"> (</w:t>
      </w:r>
      <w:r w:rsidRPr="00A12BDE">
        <w:rPr>
          <w:sz w:val="22"/>
          <w:szCs w:val="22"/>
        </w:rPr>
        <w:t>STEPS</w:t>
      </w:r>
      <w:r w:rsidR="00391973" w:rsidRPr="00A12BDE">
        <w:rPr>
          <w:sz w:val="22"/>
          <w:szCs w:val="22"/>
        </w:rPr>
        <w:t>)</w:t>
      </w:r>
      <w:r w:rsidRPr="00A12BDE">
        <w:rPr>
          <w:sz w:val="22"/>
          <w:szCs w:val="22"/>
        </w:rPr>
        <w:t xml:space="preserve"> methodology for effective control of </w:t>
      </w:r>
      <w:r w:rsidR="00391973" w:rsidRPr="00A12BDE">
        <w:rPr>
          <w:sz w:val="22"/>
          <w:szCs w:val="22"/>
        </w:rPr>
        <w:t>NCDs</w:t>
      </w:r>
      <w:r w:rsidRPr="00A12BDE">
        <w:rPr>
          <w:sz w:val="22"/>
          <w:szCs w:val="22"/>
        </w:rPr>
        <w:t>. In 2010 and 2016 STEPS surveys were carried out with technical and financial assistance of the WHO European office and WHO Headquarters</w:t>
      </w:r>
      <w:r w:rsidR="00144440" w:rsidRPr="00A12BDE">
        <w:rPr>
          <w:rStyle w:val="Lbjegyzet-hivatkozs"/>
          <w:sz w:val="22"/>
          <w:szCs w:val="22"/>
        </w:rPr>
        <w:footnoteReference w:id="14"/>
      </w:r>
      <w:r w:rsidRPr="00A12BDE">
        <w:rPr>
          <w:sz w:val="22"/>
          <w:szCs w:val="22"/>
        </w:rPr>
        <w:t>. That gave an opportunity for comparison of the data with other countries, but also to monitor and evaluate non-communicable diseases and their risk factors in Georgia over time. Since 2017, the Government has launched a program</w:t>
      </w:r>
      <w:r w:rsidR="00391973" w:rsidRPr="00A12BDE">
        <w:rPr>
          <w:sz w:val="22"/>
          <w:szCs w:val="22"/>
        </w:rPr>
        <w:t>me</w:t>
      </w:r>
      <w:r w:rsidRPr="00A12BDE">
        <w:rPr>
          <w:sz w:val="22"/>
          <w:szCs w:val="22"/>
        </w:rPr>
        <w:t xml:space="preserve"> for socially vulnerable population, which considered provision of drugs for chronic noncommunicable diseases (ischemic heart disease, hypertension, heart failure, asthma, diabetes type 2, and thyroid gland diseases) treatment.</w:t>
      </w:r>
    </w:p>
    <w:p w14:paraId="7CFEE5FD" w14:textId="6B5292FA" w:rsidR="00D209D0" w:rsidRPr="008E37A0" w:rsidRDefault="00D209D0" w:rsidP="00000D54">
      <w:pPr>
        <w:pStyle w:val="Corpo"/>
        <w:spacing w:before="120" w:after="120"/>
        <w:jc w:val="both"/>
        <w:rPr>
          <w:sz w:val="22"/>
          <w:szCs w:val="22"/>
        </w:rPr>
      </w:pPr>
      <w:r w:rsidRPr="008E37A0">
        <w:rPr>
          <w:b/>
          <w:bCs/>
          <w:sz w:val="22"/>
          <w:szCs w:val="22"/>
        </w:rPr>
        <w:lastRenderedPageBreak/>
        <w:t>Maternal and child health</w:t>
      </w:r>
      <w:r w:rsidR="00391973" w:rsidRPr="008E37A0">
        <w:rPr>
          <w:b/>
          <w:bCs/>
          <w:sz w:val="22"/>
          <w:szCs w:val="22"/>
        </w:rPr>
        <w:t xml:space="preserve"> (</w:t>
      </w:r>
      <w:r w:rsidR="00391973" w:rsidRPr="00A12BDE">
        <w:rPr>
          <w:b/>
          <w:bCs/>
          <w:sz w:val="22"/>
          <w:szCs w:val="22"/>
        </w:rPr>
        <w:t>MCH</w:t>
      </w:r>
      <w:r w:rsidR="00391973" w:rsidRPr="008E37A0">
        <w:rPr>
          <w:b/>
          <w:bCs/>
          <w:sz w:val="22"/>
          <w:szCs w:val="22"/>
        </w:rPr>
        <w:t>)</w:t>
      </w:r>
      <w:r w:rsidRPr="008E37A0">
        <w:rPr>
          <w:b/>
          <w:bCs/>
          <w:sz w:val="22"/>
          <w:szCs w:val="22"/>
        </w:rPr>
        <w:t xml:space="preserve">: </w:t>
      </w:r>
      <w:r w:rsidR="00000D54" w:rsidRPr="008E37A0">
        <w:rPr>
          <w:sz w:val="22"/>
          <w:szCs w:val="22"/>
        </w:rPr>
        <w:t xml:space="preserve">In 2016, in order to improve the maternal and child health surveillance in the country, an Electronic Module for Pregnant and Newborn Health Surveillance, so-called "birth" registry was introduced. Each pregnant woman, starting from the first antenatal visit, including childbirth, is continuously monitored through the electronic module. The system also records newborn's health status. </w:t>
      </w:r>
    </w:p>
    <w:p w14:paraId="71AE8091" w14:textId="1263FC26" w:rsidR="00CB64D7" w:rsidRPr="008E37A0" w:rsidRDefault="00CB64D7" w:rsidP="00CB64D7">
      <w:pPr>
        <w:pStyle w:val="Corpo"/>
        <w:spacing w:before="120" w:after="120"/>
        <w:jc w:val="both"/>
        <w:rPr>
          <w:sz w:val="22"/>
          <w:szCs w:val="22"/>
        </w:rPr>
      </w:pPr>
      <w:r w:rsidRPr="008E37A0">
        <w:rPr>
          <w:sz w:val="22"/>
          <w:szCs w:val="22"/>
        </w:rPr>
        <w:t xml:space="preserve">In 2018, there were 20 maternal deaths registered, including 14 early deaths (during pregnancy or within 42 days from pregnancy termination). Maternal mortality ratio is 27.4 per 100 000 live births. </w:t>
      </w:r>
    </w:p>
    <w:p w14:paraId="697661FF" w14:textId="20CCF34E" w:rsidR="00D209D0" w:rsidRPr="008E37A0" w:rsidRDefault="003D7F82" w:rsidP="00D54AF1">
      <w:pPr>
        <w:pStyle w:val="Corpo"/>
        <w:spacing w:before="120" w:after="120"/>
        <w:jc w:val="both"/>
        <w:rPr>
          <w:sz w:val="22"/>
          <w:szCs w:val="22"/>
        </w:rPr>
      </w:pPr>
      <w:r w:rsidRPr="008E37A0">
        <w:rPr>
          <w:sz w:val="22"/>
          <w:szCs w:val="22"/>
        </w:rPr>
        <w:t>In 2018, in Georgia, 76,603 new cases of diseases were registered in infants, while in 2017 this figure was 81,158. The incidence rate per 1000 infants was 1440 in 2018, while in 2017 it was 1481. Though the difference is not very much, a declining tendency can be observed in general as well as for specific diseases (e.g. a share of respiratory system diseases in infant morbidity was 57.7% in 2018, while in 2017 it was 61.9%</w:t>
      </w:r>
      <w:r w:rsidR="005F1613" w:rsidRPr="008E37A0">
        <w:rPr>
          <w:rStyle w:val="Lbjegyzet-hivatkozs"/>
          <w:sz w:val="22"/>
          <w:szCs w:val="22"/>
        </w:rPr>
        <w:footnoteReference w:id="15"/>
      </w:r>
      <w:r w:rsidRPr="008E37A0">
        <w:rPr>
          <w:sz w:val="22"/>
          <w:szCs w:val="22"/>
        </w:rPr>
        <w:t>.</w:t>
      </w:r>
    </w:p>
    <w:p w14:paraId="537E9F73" w14:textId="1B6D739D" w:rsidR="00DE5C3D" w:rsidRPr="008E37A0" w:rsidRDefault="00D209D0" w:rsidP="00781039">
      <w:pPr>
        <w:pStyle w:val="Corpo"/>
        <w:spacing w:before="120" w:after="120"/>
        <w:jc w:val="both"/>
        <w:rPr>
          <w:bCs/>
          <w:sz w:val="22"/>
          <w:szCs w:val="22"/>
        </w:rPr>
      </w:pPr>
      <w:r w:rsidRPr="008E37A0">
        <w:rPr>
          <w:b/>
          <w:bCs/>
          <w:sz w:val="22"/>
          <w:szCs w:val="22"/>
        </w:rPr>
        <w:t xml:space="preserve">Risk factors and health seeking </w:t>
      </w:r>
      <w:r w:rsidR="00A12BDE" w:rsidRPr="008E37A0">
        <w:rPr>
          <w:b/>
          <w:bCs/>
          <w:sz w:val="22"/>
          <w:szCs w:val="22"/>
        </w:rPr>
        <w:t>behaviour</w:t>
      </w:r>
      <w:r w:rsidRPr="008E37A0">
        <w:rPr>
          <w:b/>
          <w:bCs/>
          <w:sz w:val="22"/>
          <w:szCs w:val="22"/>
        </w:rPr>
        <w:t xml:space="preserve">: </w:t>
      </w:r>
      <w:r w:rsidR="00DE5C3D" w:rsidRPr="008E37A0">
        <w:rPr>
          <w:bCs/>
          <w:sz w:val="22"/>
          <w:szCs w:val="22"/>
        </w:rPr>
        <w:t>WHO’s STEP</w:t>
      </w:r>
      <w:r w:rsidR="00391973" w:rsidRPr="008E37A0">
        <w:rPr>
          <w:bCs/>
          <w:sz w:val="22"/>
          <w:szCs w:val="22"/>
        </w:rPr>
        <w:t>S</w:t>
      </w:r>
      <w:r w:rsidR="00DE5C3D" w:rsidRPr="008E37A0">
        <w:rPr>
          <w:bCs/>
          <w:sz w:val="22"/>
          <w:szCs w:val="22"/>
        </w:rPr>
        <w:t xml:space="preserve"> is the most common instrument for the surveillance of </w:t>
      </w:r>
      <w:r w:rsidR="00391973" w:rsidRPr="008E37A0">
        <w:rPr>
          <w:bCs/>
          <w:sz w:val="22"/>
          <w:szCs w:val="22"/>
        </w:rPr>
        <w:t>NCDs</w:t>
      </w:r>
      <w:r w:rsidR="00DE5C3D" w:rsidRPr="008E37A0">
        <w:rPr>
          <w:bCs/>
          <w:sz w:val="22"/>
          <w:szCs w:val="22"/>
        </w:rPr>
        <w:t xml:space="preserve"> risk-factors. Conducting first STEPS Survey in Georgia in 2010 was made possible through the financial support of European Union and the technical and financial support of World Health Organization. STEPS survey gave possibility to collect basic information on prevalence of NCDs and its biological and </w:t>
      </w:r>
      <w:r w:rsidR="00A12BDE" w:rsidRPr="008E37A0">
        <w:rPr>
          <w:bCs/>
          <w:sz w:val="22"/>
          <w:szCs w:val="22"/>
        </w:rPr>
        <w:t>behavioural</w:t>
      </w:r>
      <w:r w:rsidR="00DE5C3D" w:rsidRPr="008E37A0">
        <w:rPr>
          <w:bCs/>
          <w:sz w:val="22"/>
          <w:szCs w:val="22"/>
        </w:rPr>
        <w:t xml:space="preserve"> risk factors in the country. The second STEPS survey was conducted in Georgia in 2016 through the technical and financial support of </w:t>
      </w:r>
      <w:r w:rsidR="00391973" w:rsidRPr="008E37A0">
        <w:rPr>
          <w:bCs/>
          <w:sz w:val="22"/>
          <w:szCs w:val="22"/>
        </w:rPr>
        <w:t>WHO</w:t>
      </w:r>
      <w:r w:rsidR="00DE5C3D" w:rsidRPr="008E37A0">
        <w:rPr>
          <w:bCs/>
          <w:sz w:val="22"/>
          <w:szCs w:val="22"/>
        </w:rPr>
        <w:t xml:space="preserve"> and the </w:t>
      </w:r>
      <w:r w:rsidR="00391973" w:rsidRPr="008E37A0">
        <w:rPr>
          <w:bCs/>
          <w:sz w:val="22"/>
          <w:szCs w:val="22"/>
        </w:rPr>
        <w:t>NCDC</w:t>
      </w:r>
      <w:r w:rsidR="00DE5C3D" w:rsidRPr="008E37A0">
        <w:rPr>
          <w:bCs/>
          <w:sz w:val="22"/>
          <w:szCs w:val="22"/>
        </w:rPr>
        <w:t>. The third STEPS survey is scheduled for 2021.</w:t>
      </w:r>
    </w:p>
    <w:p w14:paraId="1BA3A85A" w14:textId="7E0915BF" w:rsidR="00DE5C3D" w:rsidRPr="008E37A0" w:rsidRDefault="00DE5C3D" w:rsidP="00781039">
      <w:pPr>
        <w:pStyle w:val="Corpo"/>
        <w:spacing w:before="120" w:after="120"/>
        <w:jc w:val="both"/>
        <w:rPr>
          <w:bCs/>
          <w:sz w:val="22"/>
          <w:szCs w:val="22"/>
        </w:rPr>
      </w:pPr>
      <w:r w:rsidRPr="008E37A0">
        <w:rPr>
          <w:bCs/>
          <w:sz w:val="22"/>
          <w:szCs w:val="22"/>
        </w:rPr>
        <w:t xml:space="preserve">STEPS </w:t>
      </w:r>
      <w:r w:rsidR="00391973" w:rsidRPr="008E37A0">
        <w:rPr>
          <w:bCs/>
          <w:sz w:val="22"/>
          <w:szCs w:val="22"/>
        </w:rPr>
        <w:t>i</w:t>
      </w:r>
      <w:r w:rsidRPr="008E37A0">
        <w:rPr>
          <w:bCs/>
          <w:sz w:val="22"/>
          <w:szCs w:val="22"/>
        </w:rPr>
        <w:t xml:space="preserve">nstrument covered three different levels of "steps" of risk factors assessment: I. Socio-demographic and behavioural information; II. Physical measurements such as height, weight, waist and hip circumference, blood pressure, pulse; III. Biochemical measurements to assess blood glucose, cholesterol and </w:t>
      </w:r>
      <w:r w:rsidR="00A12BDE" w:rsidRPr="008E37A0">
        <w:rPr>
          <w:bCs/>
          <w:sz w:val="22"/>
          <w:szCs w:val="22"/>
        </w:rPr>
        <w:t>high-density</w:t>
      </w:r>
      <w:r w:rsidRPr="008E37A0">
        <w:rPr>
          <w:bCs/>
          <w:sz w:val="22"/>
          <w:szCs w:val="22"/>
        </w:rPr>
        <w:t xml:space="preserve"> lipoproteins (</w:t>
      </w:r>
      <w:r w:rsidRPr="00A12BDE">
        <w:rPr>
          <w:bCs/>
          <w:sz w:val="22"/>
          <w:szCs w:val="22"/>
        </w:rPr>
        <w:t>HDL</w:t>
      </w:r>
      <w:r w:rsidRPr="008E37A0">
        <w:rPr>
          <w:bCs/>
          <w:sz w:val="22"/>
          <w:szCs w:val="22"/>
        </w:rPr>
        <w:t>); urinary salt and cotinine. The target population of STEPS survey was adults aged 18-69. The population-based survey used a multistage, clustered sample design and both in the East and the West parts of Georgia a total of 5,554 adults participated in the survey. The overall response rate was 75.7%</w:t>
      </w:r>
      <w:r w:rsidR="00781039" w:rsidRPr="008E37A0">
        <w:rPr>
          <w:rStyle w:val="Lbjegyzet-hivatkozs"/>
          <w:bCs/>
          <w:sz w:val="22"/>
          <w:szCs w:val="22"/>
        </w:rPr>
        <w:footnoteReference w:id="16"/>
      </w:r>
      <w:r w:rsidRPr="008E37A0">
        <w:rPr>
          <w:bCs/>
          <w:sz w:val="22"/>
          <w:szCs w:val="22"/>
        </w:rPr>
        <w:t xml:space="preserve">. </w:t>
      </w:r>
    </w:p>
    <w:bookmarkEnd w:id="1"/>
    <w:p w14:paraId="486B78DC" w14:textId="77777777" w:rsidR="00AE21A5" w:rsidRPr="008E37A0" w:rsidRDefault="00DF7D72" w:rsidP="00D54AF1">
      <w:pPr>
        <w:pStyle w:val="Intestazione2"/>
        <w:tabs>
          <w:tab w:val="clear" w:pos="360"/>
        </w:tabs>
        <w:jc w:val="left"/>
        <w:rPr>
          <w:lang w:val="en-GB"/>
        </w:rPr>
      </w:pPr>
      <w:r w:rsidRPr="008E37A0">
        <w:rPr>
          <w:lang w:val="en-GB"/>
        </w:rPr>
        <w:t>1.4</w:t>
      </w:r>
      <w:r w:rsidRPr="008E37A0">
        <w:rPr>
          <w:lang w:val="en-GB"/>
        </w:rPr>
        <w:tab/>
        <w:t>Stakeh</w:t>
      </w:r>
      <w:r w:rsidR="00A400C9" w:rsidRPr="008E37A0">
        <w:rPr>
          <w:lang w:val="en-GB"/>
        </w:rPr>
        <w:t>older analysis</w:t>
      </w:r>
    </w:p>
    <w:p w14:paraId="5E0866EA" w14:textId="639C42ED" w:rsidR="003C0AF5" w:rsidRPr="008E37A0" w:rsidRDefault="003C0AF5" w:rsidP="00D54AF1">
      <w:pPr>
        <w:spacing w:after="120"/>
        <w:jc w:val="both"/>
        <w:rPr>
          <w:sz w:val="22"/>
          <w:szCs w:val="22"/>
          <w:lang w:val="en-GB" w:eastAsia="ar-SA"/>
        </w:rPr>
      </w:pPr>
      <w:r w:rsidRPr="008E37A0">
        <w:rPr>
          <w:sz w:val="22"/>
          <w:szCs w:val="22"/>
          <w:lang w:val="en-GB" w:eastAsia="ar-SA"/>
        </w:rPr>
        <w:t xml:space="preserve">As the beneficiaries of improved healthcare and health service delivery, the core stakeholders of health sector reform are the </w:t>
      </w:r>
      <w:r w:rsidR="00AD414C" w:rsidRPr="008E37A0">
        <w:rPr>
          <w:b/>
          <w:sz w:val="22"/>
          <w:szCs w:val="22"/>
          <w:lang w:val="en-GB" w:eastAsia="ar-SA"/>
        </w:rPr>
        <w:t>Georgian</w:t>
      </w:r>
      <w:r w:rsidRPr="008E37A0">
        <w:rPr>
          <w:b/>
          <w:sz w:val="22"/>
          <w:szCs w:val="22"/>
          <w:lang w:val="en-GB" w:eastAsia="ar-SA"/>
        </w:rPr>
        <w:t xml:space="preserve"> population</w:t>
      </w:r>
      <w:r w:rsidRPr="008E37A0">
        <w:rPr>
          <w:sz w:val="22"/>
          <w:szCs w:val="22"/>
          <w:lang w:val="en-GB" w:eastAsia="ar-SA"/>
        </w:rPr>
        <w:t xml:space="preserve">, particularly the less advantaged and poorer population. </w:t>
      </w:r>
    </w:p>
    <w:p w14:paraId="0360F46E" w14:textId="72A9AAE5" w:rsidR="003C0AF5" w:rsidRPr="008E37A0" w:rsidRDefault="003C0AF5" w:rsidP="00D54AF1">
      <w:pPr>
        <w:spacing w:before="120" w:after="120"/>
        <w:jc w:val="both"/>
        <w:rPr>
          <w:sz w:val="22"/>
          <w:szCs w:val="22"/>
          <w:lang w:val="en-GB" w:eastAsia="ar-SA"/>
        </w:rPr>
      </w:pPr>
      <w:r w:rsidRPr="008E37A0">
        <w:rPr>
          <w:sz w:val="22"/>
          <w:szCs w:val="22"/>
          <w:lang w:val="en-GB" w:eastAsia="ar-SA"/>
        </w:rPr>
        <w:t xml:space="preserve">The </w:t>
      </w:r>
      <w:r w:rsidR="00AD414C" w:rsidRPr="008E37A0">
        <w:rPr>
          <w:b/>
          <w:sz w:val="22"/>
          <w:szCs w:val="22"/>
          <w:lang w:val="en-GB" w:eastAsia="ar-SA"/>
        </w:rPr>
        <w:t xml:space="preserve">public </w:t>
      </w:r>
      <w:r w:rsidRPr="008E37A0">
        <w:rPr>
          <w:b/>
          <w:sz w:val="22"/>
          <w:szCs w:val="22"/>
          <w:lang w:val="en-GB" w:eastAsia="ar-SA"/>
        </w:rPr>
        <w:t>administration</w:t>
      </w:r>
      <w:r w:rsidRPr="008E37A0">
        <w:rPr>
          <w:sz w:val="22"/>
          <w:szCs w:val="22"/>
          <w:lang w:val="en-GB" w:eastAsia="ar-SA"/>
        </w:rPr>
        <w:t xml:space="preserve"> and the </w:t>
      </w:r>
      <w:r w:rsidRPr="008E37A0">
        <w:rPr>
          <w:b/>
          <w:sz w:val="22"/>
          <w:szCs w:val="22"/>
          <w:lang w:val="en-GB" w:eastAsia="ar-SA"/>
        </w:rPr>
        <w:t>Government</w:t>
      </w:r>
      <w:r w:rsidRPr="008E37A0">
        <w:rPr>
          <w:sz w:val="22"/>
          <w:szCs w:val="22"/>
          <w:lang w:val="en-GB" w:eastAsia="ar-SA"/>
        </w:rPr>
        <w:t xml:space="preserve"> hold overall responsibility for the determination and implementation of health policy. Without the commitment of both these arms of the executive, not only to the direction of reform but also to the allocation of resources for its implementation, no amount of technical sophistication in designing the reform programme will be successful.</w:t>
      </w:r>
    </w:p>
    <w:p w14:paraId="398DD623" w14:textId="008E1E30" w:rsidR="003C0AF5" w:rsidRPr="008E37A0" w:rsidRDefault="003C0AF5" w:rsidP="00D54AF1">
      <w:pPr>
        <w:autoSpaceDE w:val="0"/>
        <w:adjustRightInd w:val="0"/>
        <w:spacing w:before="120" w:after="120"/>
        <w:jc w:val="both"/>
        <w:rPr>
          <w:sz w:val="22"/>
          <w:szCs w:val="22"/>
          <w:lang w:val="en-GB" w:eastAsia="ar-SA"/>
        </w:rPr>
      </w:pPr>
      <w:r w:rsidRPr="008E37A0">
        <w:rPr>
          <w:sz w:val="22"/>
          <w:szCs w:val="22"/>
          <w:lang w:val="en-GB" w:eastAsia="ar-SA"/>
        </w:rPr>
        <w:t xml:space="preserve">Within </w:t>
      </w:r>
      <w:r w:rsidR="002755DA" w:rsidRPr="008E37A0">
        <w:rPr>
          <w:sz w:val="22"/>
          <w:szCs w:val="22"/>
          <w:lang w:val="en-GB" w:eastAsia="ar-SA"/>
        </w:rPr>
        <w:t xml:space="preserve">the </w:t>
      </w:r>
      <w:r w:rsidRPr="008E37A0">
        <w:rPr>
          <w:sz w:val="22"/>
          <w:szCs w:val="22"/>
          <w:lang w:val="en-GB" w:eastAsia="ar-SA"/>
        </w:rPr>
        <w:t xml:space="preserve">Government, two ministries have central responsibilities for important elements of the reform. The </w:t>
      </w:r>
      <w:r w:rsidRPr="008E37A0">
        <w:rPr>
          <w:b/>
          <w:sz w:val="22"/>
          <w:szCs w:val="22"/>
          <w:lang w:val="en-GB" w:eastAsia="ar-SA"/>
        </w:rPr>
        <w:t>M</w:t>
      </w:r>
      <w:r w:rsidR="00AD414C" w:rsidRPr="008E37A0">
        <w:rPr>
          <w:b/>
          <w:sz w:val="22"/>
          <w:szCs w:val="22"/>
          <w:lang w:val="en-GB" w:eastAsia="ar-SA"/>
        </w:rPr>
        <w:t xml:space="preserve">inistry of </w:t>
      </w:r>
      <w:r w:rsidRPr="008E37A0">
        <w:rPr>
          <w:b/>
          <w:sz w:val="22"/>
          <w:szCs w:val="22"/>
          <w:lang w:val="en-GB" w:eastAsia="ar-SA"/>
        </w:rPr>
        <w:t>F</w:t>
      </w:r>
      <w:r w:rsidR="00AD414C" w:rsidRPr="008E37A0">
        <w:rPr>
          <w:b/>
          <w:sz w:val="22"/>
          <w:szCs w:val="22"/>
          <w:lang w:val="en-GB" w:eastAsia="ar-SA"/>
        </w:rPr>
        <w:t>inance</w:t>
      </w:r>
      <w:r w:rsidRPr="008E37A0">
        <w:rPr>
          <w:sz w:val="22"/>
          <w:szCs w:val="22"/>
          <w:lang w:val="en-GB" w:eastAsia="ar-SA"/>
        </w:rPr>
        <w:t xml:space="preserve"> </w:t>
      </w:r>
      <w:r w:rsidR="00A30ABE" w:rsidRPr="008E37A0">
        <w:rPr>
          <w:sz w:val="22"/>
          <w:szCs w:val="22"/>
          <w:lang w:val="en-GB" w:eastAsia="ar-SA"/>
        </w:rPr>
        <w:t>(</w:t>
      </w:r>
      <w:r w:rsidR="00A30ABE" w:rsidRPr="00A12BDE">
        <w:rPr>
          <w:sz w:val="22"/>
          <w:szCs w:val="22"/>
          <w:lang w:val="en-GB" w:eastAsia="ar-SA"/>
        </w:rPr>
        <w:t>MoF</w:t>
      </w:r>
      <w:r w:rsidR="00A30ABE" w:rsidRPr="008E37A0">
        <w:rPr>
          <w:sz w:val="22"/>
          <w:szCs w:val="22"/>
          <w:lang w:val="en-GB" w:eastAsia="ar-SA"/>
        </w:rPr>
        <w:t xml:space="preserve">) </w:t>
      </w:r>
      <w:r w:rsidRPr="008E37A0">
        <w:rPr>
          <w:sz w:val="22"/>
          <w:szCs w:val="22"/>
          <w:lang w:val="en-GB" w:eastAsia="ar-SA"/>
        </w:rPr>
        <w:t xml:space="preserve">manages the allocation of budgetary resources to national and sub-national agencies through the budget preparation process, and the execution of expenditure. It has primary responsibility for the introduction of more efficient and effective expenditure of public financial resources that are the fundamental objective of ongoing health financing reforms. </w:t>
      </w:r>
    </w:p>
    <w:p w14:paraId="4B773921" w14:textId="4F2366D2" w:rsidR="0097546E" w:rsidRPr="008E37A0" w:rsidRDefault="00913925" w:rsidP="00A83516">
      <w:pPr>
        <w:autoSpaceDE w:val="0"/>
        <w:adjustRightInd w:val="0"/>
        <w:spacing w:before="120" w:after="120"/>
        <w:jc w:val="both"/>
        <w:rPr>
          <w:sz w:val="22"/>
          <w:szCs w:val="22"/>
          <w:lang w:val="en-GB" w:eastAsia="ar-SA"/>
        </w:rPr>
      </w:pPr>
      <w:r w:rsidRPr="008E37A0">
        <w:rPr>
          <w:sz w:val="22"/>
          <w:szCs w:val="22"/>
          <w:lang w:val="en-GB" w:eastAsia="ar-SA"/>
        </w:rPr>
        <w:t>The</w:t>
      </w:r>
      <w:r w:rsidR="00A30ABE" w:rsidRPr="008E37A0">
        <w:rPr>
          <w:sz w:val="22"/>
          <w:szCs w:val="22"/>
          <w:lang w:val="en-GB" w:eastAsia="ar-SA"/>
        </w:rPr>
        <w:t xml:space="preserve"> </w:t>
      </w:r>
      <w:r w:rsidR="00A30ABE" w:rsidRPr="008E37A0">
        <w:rPr>
          <w:b/>
          <w:bCs/>
          <w:sz w:val="22"/>
          <w:szCs w:val="22"/>
          <w:lang w:val="en-GB"/>
        </w:rPr>
        <w:t>Ministry of Internally Displaced Persons from the Occupied Territories, Labour, Health and Social Affairs</w:t>
      </w:r>
      <w:r w:rsidR="00A30ABE" w:rsidRPr="008E37A0">
        <w:rPr>
          <w:sz w:val="22"/>
          <w:szCs w:val="22"/>
          <w:lang w:val="en-GB"/>
        </w:rPr>
        <w:t xml:space="preserve"> </w:t>
      </w:r>
      <w:r w:rsidRPr="008E37A0">
        <w:rPr>
          <w:sz w:val="22"/>
          <w:szCs w:val="22"/>
          <w:lang w:val="en-GB" w:eastAsia="ar-SA"/>
        </w:rPr>
        <w:t>is responsible for formulating and executing the Government's health policy. Its responsibilities in governing the health sector include</w:t>
      </w:r>
      <w:r w:rsidR="00B8681E" w:rsidRPr="008E37A0">
        <w:rPr>
          <w:sz w:val="22"/>
          <w:szCs w:val="22"/>
          <w:lang w:val="en-GB" w:eastAsia="ar-SA"/>
        </w:rPr>
        <w:t xml:space="preserve"> a broad range of </w:t>
      </w:r>
      <w:r w:rsidR="00C66B84" w:rsidRPr="008E37A0">
        <w:rPr>
          <w:sz w:val="22"/>
          <w:szCs w:val="22"/>
          <w:lang w:val="en-GB" w:eastAsia="ar-SA"/>
        </w:rPr>
        <w:t>matters in regulation, planning, standardisation</w:t>
      </w:r>
      <w:r w:rsidRPr="008E37A0">
        <w:rPr>
          <w:sz w:val="22"/>
          <w:szCs w:val="22"/>
          <w:lang w:val="en-GB" w:eastAsia="ar-SA"/>
        </w:rPr>
        <w:t xml:space="preserve">, </w:t>
      </w:r>
      <w:r w:rsidR="00C66B84" w:rsidRPr="008E37A0">
        <w:rPr>
          <w:sz w:val="22"/>
          <w:szCs w:val="22"/>
          <w:lang w:val="en-GB" w:eastAsia="ar-SA"/>
        </w:rPr>
        <w:t xml:space="preserve">oversight, </w:t>
      </w:r>
      <w:r w:rsidRPr="008E37A0">
        <w:rPr>
          <w:sz w:val="22"/>
          <w:szCs w:val="22"/>
          <w:lang w:val="en-GB" w:eastAsia="ar-SA"/>
        </w:rPr>
        <w:t xml:space="preserve">surveillance and reporting. The Ministry is also responsible for funding of the health facilities. </w:t>
      </w:r>
    </w:p>
    <w:p w14:paraId="638E4A0B" w14:textId="72974909" w:rsidR="00DF7DBD" w:rsidRPr="008E37A0" w:rsidRDefault="00913925" w:rsidP="00A83516">
      <w:pPr>
        <w:autoSpaceDE w:val="0"/>
        <w:adjustRightInd w:val="0"/>
        <w:spacing w:before="120" w:after="120"/>
        <w:jc w:val="both"/>
        <w:rPr>
          <w:sz w:val="22"/>
          <w:szCs w:val="22"/>
          <w:lang w:val="en-GB" w:eastAsia="ar-SA"/>
        </w:rPr>
      </w:pPr>
      <w:r w:rsidRPr="008E37A0">
        <w:rPr>
          <w:b/>
          <w:sz w:val="22"/>
          <w:szCs w:val="22"/>
          <w:lang w:val="en-GB" w:eastAsia="ar-SA"/>
        </w:rPr>
        <w:lastRenderedPageBreak/>
        <w:t>Sub-national governments</w:t>
      </w:r>
      <w:r w:rsidR="00B425C8" w:rsidRPr="008E37A0">
        <w:rPr>
          <w:b/>
          <w:sz w:val="22"/>
          <w:szCs w:val="22"/>
          <w:lang w:val="en-GB" w:eastAsia="ar-SA"/>
        </w:rPr>
        <w:t xml:space="preserve">: </w:t>
      </w:r>
      <w:r w:rsidR="00DF7DBD" w:rsidRPr="008E37A0">
        <w:rPr>
          <w:sz w:val="22"/>
          <w:szCs w:val="22"/>
          <w:lang w:val="en-GB" w:eastAsia="ar-SA"/>
        </w:rPr>
        <w:t xml:space="preserve">Georgia is a unitary country with a one-tier-system of decentralization. While the capital city of Tbilisi enjoys a special status, local level comprises 12 self-governing municipalities and 64 communities. Each of these entities can be divided in sub-municipal administrative units. The municipalities are groups into nine regions (Mkhareb) which are deconcentrated levels of governments. Tbilisi itself is divided into ten districts (raion). </w:t>
      </w:r>
    </w:p>
    <w:p w14:paraId="1FE5F112" w14:textId="642EB7F9" w:rsidR="000324EE" w:rsidRPr="008E37A0" w:rsidRDefault="00DF7DBD" w:rsidP="00A83516">
      <w:pPr>
        <w:autoSpaceDE w:val="0"/>
        <w:adjustRightInd w:val="0"/>
        <w:spacing w:before="120" w:after="120"/>
        <w:jc w:val="both"/>
        <w:rPr>
          <w:sz w:val="22"/>
          <w:szCs w:val="22"/>
          <w:lang w:val="en-GB" w:eastAsia="ar-SA"/>
        </w:rPr>
      </w:pPr>
      <w:r w:rsidRPr="008E37A0">
        <w:rPr>
          <w:sz w:val="22"/>
          <w:szCs w:val="22"/>
          <w:lang w:val="en-GB" w:eastAsia="ar-SA"/>
        </w:rPr>
        <w:t xml:space="preserve">The revision of </w:t>
      </w:r>
      <w:r w:rsidR="000324EE" w:rsidRPr="008E37A0">
        <w:rPr>
          <w:sz w:val="22"/>
          <w:szCs w:val="22"/>
          <w:lang w:val="en-GB" w:eastAsia="ar-SA"/>
        </w:rPr>
        <w:t xml:space="preserve">Law on Local Self-Government and Government </w:t>
      </w:r>
      <w:r w:rsidRPr="008E37A0">
        <w:rPr>
          <w:sz w:val="22"/>
          <w:szCs w:val="22"/>
          <w:lang w:val="en-GB" w:eastAsia="ar-SA"/>
        </w:rPr>
        <w:t xml:space="preserve">in 2006 led to territorial consolidation but without adequate financial and political emancipation of the local units. Later in 2013, the constitutional reform enshrined self-governments’ autonomy in the Constitution, and a new law on Local Self-Government Code was adopted in February 2014, reinforcing local participation and elections mechanism through calling for directly elected mayors in 12 cities and gamgebelis for 59 municipalities (in contrast to the previous legislation that limited direct mayoral elections to Tbilisi). </w:t>
      </w:r>
    </w:p>
    <w:p w14:paraId="0C98E04B" w14:textId="498E8B97" w:rsidR="00DF7DBD" w:rsidRPr="008E37A0" w:rsidRDefault="000324EE" w:rsidP="00A83516">
      <w:pPr>
        <w:autoSpaceDE w:val="0"/>
        <w:adjustRightInd w:val="0"/>
        <w:spacing w:before="120" w:after="120"/>
        <w:jc w:val="both"/>
        <w:rPr>
          <w:sz w:val="22"/>
          <w:szCs w:val="22"/>
          <w:lang w:val="en-GB" w:eastAsia="ar-SA"/>
        </w:rPr>
      </w:pPr>
      <w:r w:rsidRPr="008E37A0">
        <w:rPr>
          <w:sz w:val="22"/>
          <w:szCs w:val="22"/>
          <w:lang w:val="en-GB" w:eastAsia="ar-SA"/>
        </w:rPr>
        <w:t>S</w:t>
      </w:r>
      <w:r w:rsidR="00DF7DBD" w:rsidRPr="008E37A0">
        <w:rPr>
          <w:sz w:val="22"/>
          <w:szCs w:val="22"/>
          <w:lang w:val="en-GB" w:eastAsia="ar-SA"/>
        </w:rPr>
        <w:t>elf-governing entities are completely autonomous in planning their budgets. Nonetheless, the lack of financial resources let this devolution of powers unachieved.</w:t>
      </w:r>
      <w:r w:rsidR="00B425C8" w:rsidRPr="008E37A0">
        <w:rPr>
          <w:sz w:val="22"/>
          <w:szCs w:val="22"/>
          <w:lang w:val="en-GB" w:eastAsia="ar-SA"/>
        </w:rPr>
        <w:t xml:space="preserve"> Local Governments budgets represent an important share of GDP in Georgia. Most of the expenditures are dedicated to operating activities, with a moderate weight of staff charges. Capital expenditures have been growing over the last years, with a number of investment projects focusing on local economic development. On average, local governments sped 3% of their budget on health care</w:t>
      </w:r>
      <w:r w:rsidR="00B425C8" w:rsidRPr="008E37A0">
        <w:rPr>
          <w:rStyle w:val="Lbjegyzet-hivatkozs"/>
          <w:sz w:val="22"/>
          <w:szCs w:val="22"/>
          <w:lang w:val="en-GB" w:eastAsia="ar-SA"/>
        </w:rPr>
        <w:footnoteReference w:id="17"/>
      </w:r>
      <w:r w:rsidR="00B425C8" w:rsidRPr="008E37A0">
        <w:rPr>
          <w:sz w:val="22"/>
          <w:szCs w:val="22"/>
          <w:lang w:val="en-GB" w:eastAsia="ar-SA"/>
        </w:rPr>
        <w:t xml:space="preserve">. </w:t>
      </w:r>
    </w:p>
    <w:p w14:paraId="21705C54" w14:textId="3F440757" w:rsidR="003C0AF5" w:rsidRPr="008E37A0" w:rsidRDefault="003C0AF5" w:rsidP="00B926BC">
      <w:pPr>
        <w:spacing w:after="120"/>
        <w:rPr>
          <w:sz w:val="22"/>
          <w:szCs w:val="22"/>
          <w:lang w:val="en-GB" w:eastAsia="ar-SA"/>
        </w:rPr>
      </w:pPr>
      <w:r w:rsidRPr="008E37A0">
        <w:rPr>
          <w:sz w:val="22"/>
          <w:szCs w:val="22"/>
          <w:lang w:val="en-GB" w:eastAsia="ar-SA"/>
        </w:rPr>
        <w:t xml:space="preserve">Other key stakeholders are </w:t>
      </w:r>
      <w:r w:rsidR="000B6967" w:rsidRPr="008E37A0">
        <w:rPr>
          <w:sz w:val="22"/>
          <w:szCs w:val="22"/>
          <w:lang w:val="en-GB" w:eastAsia="ar-SA"/>
        </w:rPr>
        <w:t xml:space="preserve">the </w:t>
      </w:r>
      <w:r w:rsidR="000B6967" w:rsidRPr="008E37A0">
        <w:rPr>
          <w:b/>
          <w:sz w:val="22"/>
          <w:szCs w:val="22"/>
          <w:lang w:val="en-GB" w:eastAsia="ar-SA"/>
        </w:rPr>
        <w:t>National Centre for Disease Control and Public Health,</w:t>
      </w:r>
      <w:r w:rsidR="000B6967" w:rsidRPr="008E37A0">
        <w:rPr>
          <w:sz w:val="22"/>
          <w:szCs w:val="22"/>
          <w:lang w:val="en-GB" w:eastAsia="ar-SA"/>
        </w:rPr>
        <w:t xml:space="preserve"> </w:t>
      </w:r>
      <w:r w:rsidRPr="008E37A0">
        <w:rPr>
          <w:sz w:val="22"/>
          <w:szCs w:val="22"/>
          <w:lang w:val="en-GB" w:eastAsia="ar-SA"/>
        </w:rPr>
        <w:t xml:space="preserve">the </w:t>
      </w:r>
      <w:r w:rsidR="000B6967" w:rsidRPr="008E37A0">
        <w:rPr>
          <w:b/>
          <w:sz w:val="22"/>
          <w:szCs w:val="22"/>
          <w:lang w:val="en-GB" w:eastAsia="ar-SA"/>
        </w:rPr>
        <w:t>Tbilisi</w:t>
      </w:r>
      <w:r w:rsidRPr="008E37A0">
        <w:rPr>
          <w:b/>
          <w:sz w:val="22"/>
          <w:szCs w:val="22"/>
          <w:lang w:val="en-GB" w:eastAsia="ar-SA"/>
        </w:rPr>
        <w:t xml:space="preserve"> State Medical University</w:t>
      </w:r>
      <w:r w:rsidRPr="008E37A0">
        <w:rPr>
          <w:sz w:val="22"/>
          <w:szCs w:val="22"/>
          <w:lang w:val="en-GB" w:eastAsia="ar-SA"/>
        </w:rPr>
        <w:t xml:space="preserve">, the </w:t>
      </w:r>
      <w:r w:rsidR="000B6967" w:rsidRPr="008E37A0">
        <w:rPr>
          <w:b/>
          <w:bCs/>
          <w:sz w:val="22"/>
          <w:szCs w:val="22"/>
          <w:lang w:val="en-GB" w:eastAsia="ar-SA"/>
        </w:rPr>
        <w:t>National Family Medicine Training Centre</w:t>
      </w:r>
      <w:r w:rsidRPr="008E37A0">
        <w:rPr>
          <w:sz w:val="22"/>
          <w:szCs w:val="22"/>
          <w:lang w:val="en-GB" w:eastAsia="ar-SA"/>
        </w:rPr>
        <w:t xml:space="preserve">, </w:t>
      </w:r>
      <w:r w:rsidR="00E47AD9" w:rsidRPr="008E37A0">
        <w:rPr>
          <w:sz w:val="22"/>
          <w:szCs w:val="22"/>
          <w:lang w:val="en-GB" w:eastAsia="ar-SA"/>
        </w:rPr>
        <w:t xml:space="preserve">and </w:t>
      </w:r>
      <w:r w:rsidR="00B926BC" w:rsidRPr="008E37A0">
        <w:rPr>
          <w:sz w:val="22"/>
          <w:szCs w:val="22"/>
          <w:lang w:val="en-GB" w:eastAsia="ar-SA"/>
        </w:rPr>
        <w:t xml:space="preserve">the </w:t>
      </w:r>
      <w:r w:rsidR="00B926BC" w:rsidRPr="008E37A0">
        <w:rPr>
          <w:b/>
          <w:bCs/>
          <w:sz w:val="22"/>
          <w:szCs w:val="22"/>
          <w:lang w:val="en-GB" w:eastAsia="ar-SA"/>
        </w:rPr>
        <w:t>National AIDS and Clinical Immunology Research Centre</w:t>
      </w:r>
      <w:r w:rsidR="00E47AD9" w:rsidRPr="008E37A0">
        <w:rPr>
          <w:sz w:val="22"/>
          <w:szCs w:val="22"/>
          <w:lang w:val="en-GB" w:eastAsia="ar-SA"/>
        </w:rPr>
        <w:t xml:space="preserve">, </w:t>
      </w:r>
      <w:r w:rsidR="00B926BC" w:rsidRPr="008E37A0">
        <w:rPr>
          <w:b/>
          <w:bCs/>
          <w:sz w:val="22"/>
          <w:szCs w:val="22"/>
          <w:lang w:val="en-GB" w:eastAsia="ar-SA"/>
        </w:rPr>
        <w:t xml:space="preserve">National Center for Tuberculosis and Lung Disease, </w:t>
      </w:r>
      <w:r w:rsidR="00B926BC" w:rsidRPr="008E37A0">
        <w:rPr>
          <w:sz w:val="22"/>
          <w:szCs w:val="22"/>
          <w:lang w:val="en-GB" w:eastAsia="ar-SA"/>
        </w:rPr>
        <w:t xml:space="preserve"> </w:t>
      </w:r>
      <w:r w:rsidRPr="008E37A0">
        <w:rPr>
          <w:sz w:val="22"/>
          <w:szCs w:val="22"/>
          <w:lang w:val="en-GB" w:eastAsia="ar-SA"/>
        </w:rPr>
        <w:t xml:space="preserve">local health authorities, </w:t>
      </w:r>
      <w:r w:rsidR="00A30ABE" w:rsidRPr="008E37A0">
        <w:rPr>
          <w:sz w:val="22"/>
          <w:szCs w:val="22"/>
          <w:lang w:val="en-GB" w:eastAsia="ar-SA"/>
        </w:rPr>
        <w:t>primary health care</w:t>
      </w:r>
      <w:r w:rsidRPr="008E37A0">
        <w:rPr>
          <w:sz w:val="22"/>
          <w:szCs w:val="22"/>
          <w:lang w:val="en-GB" w:eastAsia="ar-SA"/>
        </w:rPr>
        <w:t xml:space="preserve"> facilities and other health facilities. </w:t>
      </w:r>
    </w:p>
    <w:p w14:paraId="6E92B3BE" w14:textId="4837B512" w:rsidR="00AE21A5" w:rsidRPr="008E37A0" w:rsidRDefault="003C0AF5" w:rsidP="00D54AF1">
      <w:pPr>
        <w:spacing w:before="120" w:after="120"/>
        <w:jc w:val="both"/>
        <w:textAlignment w:val="top"/>
        <w:rPr>
          <w:sz w:val="22"/>
          <w:szCs w:val="22"/>
          <w:bdr w:val="none" w:sz="0" w:space="0" w:color="auto" w:frame="1"/>
          <w:lang w:val="en-GB" w:eastAsia="ar-SA"/>
        </w:rPr>
      </w:pPr>
      <w:r w:rsidRPr="00A12BDE">
        <w:rPr>
          <w:color w:val="000000"/>
          <w:sz w:val="22"/>
          <w:szCs w:val="22"/>
          <w:bdr w:val="none" w:sz="0" w:space="0" w:color="auto" w:frame="1"/>
          <w:lang w:val="en-GB" w:eastAsia="ar-SA"/>
        </w:rPr>
        <w:t xml:space="preserve">There </w:t>
      </w:r>
      <w:r w:rsidR="00B926BC" w:rsidRPr="00A12BDE">
        <w:rPr>
          <w:color w:val="000000"/>
          <w:sz w:val="22"/>
          <w:szCs w:val="22"/>
          <w:bdr w:val="none" w:sz="0" w:space="0" w:color="auto" w:frame="1"/>
          <w:lang w:val="en-GB" w:eastAsia="ar-SA"/>
        </w:rPr>
        <w:t xml:space="preserve">was </w:t>
      </w:r>
      <w:r w:rsidRPr="00A12BDE">
        <w:rPr>
          <w:color w:val="000000"/>
          <w:sz w:val="22"/>
          <w:szCs w:val="22"/>
          <w:bdr w:val="none" w:sz="0" w:space="0" w:color="auto" w:frame="1"/>
          <w:lang w:val="en-GB" w:eastAsia="ar-SA"/>
        </w:rPr>
        <w:t xml:space="preserve">significant donor support for healthcare development, </w:t>
      </w:r>
      <w:r w:rsidR="00B926BC" w:rsidRPr="00A12BDE">
        <w:rPr>
          <w:color w:val="000000"/>
          <w:sz w:val="22"/>
          <w:szCs w:val="22"/>
          <w:bdr w:val="none" w:sz="0" w:space="0" w:color="auto" w:frame="1"/>
          <w:lang w:val="en-GB" w:eastAsia="ar-SA"/>
        </w:rPr>
        <w:t xml:space="preserve">while recently donor funding is in transition phase. </w:t>
      </w:r>
      <w:r w:rsidRPr="00A12BDE">
        <w:rPr>
          <w:color w:val="000000"/>
          <w:sz w:val="22"/>
          <w:szCs w:val="22"/>
          <w:bdr w:val="none" w:sz="0" w:space="0" w:color="auto" w:frame="1"/>
          <w:lang w:val="en-GB" w:eastAsia="ar-SA"/>
        </w:rPr>
        <w:t>While coordination is the responsibility of the G</w:t>
      </w:r>
      <w:r w:rsidR="00AD414C" w:rsidRPr="00A12BDE">
        <w:rPr>
          <w:color w:val="000000"/>
          <w:sz w:val="22"/>
          <w:szCs w:val="22"/>
          <w:bdr w:val="none" w:sz="0" w:space="0" w:color="auto" w:frame="1"/>
          <w:lang w:val="en-GB" w:eastAsia="ar-SA"/>
        </w:rPr>
        <w:t>overnment</w:t>
      </w:r>
      <w:r w:rsidRPr="00A12BDE">
        <w:rPr>
          <w:color w:val="000000"/>
          <w:sz w:val="22"/>
          <w:szCs w:val="22"/>
          <w:bdr w:val="none" w:sz="0" w:space="0" w:color="auto" w:frame="1"/>
          <w:lang w:val="en-GB" w:eastAsia="ar-SA"/>
        </w:rPr>
        <w:t xml:space="preserve">, the </w:t>
      </w:r>
      <w:r w:rsidRPr="00A12BDE">
        <w:rPr>
          <w:b/>
          <w:color w:val="000000"/>
          <w:sz w:val="22"/>
          <w:szCs w:val="22"/>
          <w:bdr w:val="none" w:sz="0" w:space="0" w:color="auto" w:frame="1"/>
          <w:lang w:val="en-GB" w:eastAsia="ar-SA"/>
        </w:rPr>
        <w:t>Donor Coordination Council</w:t>
      </w:r>
      <w:r w:rsidRPr="00A12BDE">
        <w:rPr>
          <w:color w:val="000000"/>
          <w:sz w:val="22"/>
          <w:szCs w:val="22"/>
          <w:bdr w:val="none" w:sz="0" w:space="0" w:color="auto" w:frame="1"/>
          <w:lang w:val="en-GB" w:eastAsia="ar-SA"/>
        </w:rPr>
        <w:t xml:space="preserve"> (DCC)</w:t>
      </w:r>
      <w:r w:rsidR="00AD414C" w:rsidRPr="00A12BDE">
        <w:rPr>
          <w:color w:val="000000"/>
          <w:sz w:val="22"/>
          <w:szCs w:val="22"/>
          <w:bdr w:val="none" w:sz="0" w:space="0" w:color="auto" w:frame="1"/>
          <w:lang w:val="en-GB" w:eastAsia="ar-SA"/>
        </w:rPr>
        <w:t xml:space="preserve"> should </w:t>
      </w:r>
      <w:r w:rsidRPr="00A12BDE">
        <w:rPr>
          <w:color w:val="000000"/>
          <w:sz w:val="22"/>
          <w:szCs w:val="22"/>
          <w:bdr w:val="none" w:sz="0" w:space="0" w:color="auto" w:frame="1"/>
          <w:lang w:val="en-GB" w:eastAsia="ar-SA"/>
        </w:rPr>
        <w:t xml:space="preserve">strengthen aid effectiveness, facilitate information exchange and collaboration within the development community, and foster dialogue with the </w:t>
      </w:r>
      <w:r w:rsidR="00A12BDE" w:rsidRPr="00A12BDE">
        <w:rPr>
          <w:color w:val="000000"/>
          <w:sz w:val="22"/>
          <w:szCs w:val="22"/>
          <w:bdr w:val="none" w:sz="0" w:space="0" w:color="auto" w:frame="1"/>
          <w:lang w:val="en-GB" w:eastAsia="ar-SA"/>
        </w:rPr>
        <w:t>Administration of Government (</w:t>
      </w:r>
      <w:r w:rsidR="00B926BC" w:rsidRPr="00A12BDE">
        <w:rPr>
          <w:color w:val="000000"/>
          <w:sz w:val="22"/>
          <w:szCs w:val="22"/>
          <w:bdr w:val="none" w:sz="0" w:space="0" w:color="auto" w:frame="1"/>
          <w:lang w:val="en-GB" w:eastAsia="ar-SA"/>
        </w:rPr>
        <w:t>A</w:t>
      </w:r>
      <w:r w:rsidRPr="00A12BDE">
        <w:rPr>
          <w:color w:val="000000"/>
          <w:sz w:val="22"/>
          <w:szCs w:val="22"/>
          <w:bdr w:val="none" w:sz="0" w:space="0" w:color="auto" w:frame="1"/>
          <w:lang w:val="en-GB" w:eastAsia="ar-SA"/>
        </w:rPr>
        <w:t>o</w:t>
      </w:r>
      <w:r w:rsidR="00AD414C" w:rsidRPr="00A12BDE">
        <w:rPr>
          <w:color w:val="000000"/>
          <w:sz w:val="22"/>
          <w:szCs w:val="22"/>
          <w:bdr w:val="none" w:sz="0" w:space="0" w:color="auto" w:frame="1"/>
          <w:lang w:val="en-GB" w:eastAsia="ar-SA"/>
        </w:rPr>
        <w:t>G</w:t>
      </w:r>
      <w:r w:rsidR="00A12BDE" w:rsidRPr="00A12BDE">
        <w:rPr>
          <w:color w:val="000000"/>
          <w:sz w:val="22"/>
          <w:szCs w:val="22"/>
          <w:bdr w:val="none" w:sz="0" w:space="0" w:color="auto" w:frame="1"/>
          <w:lang w:val="en-GB" w:eastAsia="ar-SA"/>
        </w:rPr>
        <w:t>)</w:t>
      </w:r>
      <w:r w:rsidRPr="00A12BDE">
        <w:rPr>
          <w:color w:val="000000"/>
          <w:sz w:val="22"/>
          <w:szCs w:val="22"/>
          <w:bdr w:val="none" w:sz="0" w:space="0" w:color="auto" w:frame="1"/>
          <w:lang w:val="en-GB" w:eastAsia="ar-SA"/>
        </w:rPr>
        <w:t xml:space="preserve">. Under the </w:t>
      </w:r>
      <w:r w:rsidRPr="00A12BDE">
        <w:rPr>
          <w:bCs/>
          <w:color w:val="000000"/>
          <w:sz w:val="22"/>
          <w:szCs w:val="22"/>
          <w:bdr w:val="none" w:sz="0" w:space="0" w:color="auto" w:frame="1"/>
          <w:lang w:val="en-GB" w:eastAsia="ar-SA"/>
        </w:rPr>
        <w:t xml:space="preserve">DCC, the </w:t>
      </w:r>
      <w:r w:rsidRPr="00A12BDE">
        <w:rPr>
          <w:b/>
          <w:sz w:val="22"/>
          <w:szCs w:val="22"/>
          <w:lang w:val="en-GB" w:eastAsia="ar-SA"/>
        </w:rPr>
        <w:t>Health Technical Working Group</w:t>
      </w:r>
      <w:r w:rsidRPr="00A12BDE">
        <w:rPr>
          <w:sz w:val="22"/>
          <w:szCs w:val="22"/>
          <w:lang w:val="en-GB" w:eastAsia="ar-SA"/>
        </w:rPr>
        <w:t xml:space="preserve">, </w:t>
      </w:r>
      <w:r w:rsidR="00E1573F" w:rsidRPr="00A12BDE">
        <w:rPr>
          <w:sz w:val="22"/>
          <w:szCs w:val="22"/>
          <w:lang w:val="en-GB" w:eastAsia="ar-SA"/>
        </w:rPr>
        <w:t xml:space="preserve">should </w:t>
      </w:r>
      <w:r w:rsidRPr="00A12BDE">
        <w:rPr>
          <w:sz w:val="22"/>
          <w:szCs w:val="22"/>
          <w:bdr w:val="none" w:sz="0" w:space="0" w:color="auto" w:frame="1"/>
          <w:lang w:val="en-GB" w:eastAsia="ar-SA"/>
        </w:rPr>
        <w:t>meet at least once every two months. Its members include d</w:t>
      </w:r>
      <w:r w:rsidR="00952AD5" w:rsidRPr="00A12BDE">
        <w:rPr>
          <w:sz w:val="22"/>
          <w:szCs w:val="22"/>
          <w:bdr w:val="none" w:sz="0" w:space="0" w:color="auto" w:frame="1"/>
          <w:lang w:val="en-GB" w:eastAsia="ar-SA"/>
        </w:rPr>
        <w:t>evelopment partners</w:t>
      </w:r>
      <w:r w:rsidRPr="00A12BDE">
        <w:rPr>
          <w:sz w:val="22"/>
          <w:szCs w:val="22"/>
          <w:bdr w:val="none" w:sz="0" w:space="0" w:color="auto" w:frame="1"/>
          <w:lang w:val="en-GB" w:eastAsia="ar-SA"/>
        </w:rPr>
        <w:t xml:space="preserve"> and</w:t>
      </w:r>
      <w:r w:rsidR="00A30ABE" w:rsidRPr="00A12BDE">
        <w:rPr>
          <w:sz w:val="22"/>
          <w:szCs w:val="22"/>
          <w:bdr w:val="none" w:sz="0" w:space="0" w:color="auto" w:frame="1"/>
          <w:lang w:val="en-GB" w:eastAsia="ar-SA"/>
        </w:rPr>
        <w:t xml:space="preserve"> non-governmental organizations</w:t>
      </w:r>
      <w:r w:rsidRPr="00A12BDE">
        <w:rPr>
          <w:sz w:val="22"/>
          <w:szCs w:val="22"/>
          <w:bdr w:val="none" w:sz="0" w:space="0" w:color="auto" w:frame="1"/>
          <w:lang w:val="en-GB" w:eastAsia="ar-SA"/>
        </w:rPr>
        <w:t xml:space="preserve"> </w:t>
      </w:r>
      <w:r w:rsidR="00A30ABE" w:rsidRPr="00A12BDE">
        <w:rPr>
          <w:sz w:val="22"/>
          <w:szCs w:val="22"/>
          <w:bdr w:val="none" w:sz="0" w:space="0" w:color="auto" w:frame="1"/>
          <w:lang w:val="en-GB" w:eastAsia="ar-SA"/>
        </w:rPr>
        <w:t>(</w:t>
      </w:r>
      <w:r w:rsidRPr="00A12BDE">
        <w:rPr>
          <w:sz w:val="22"/>
          <w:szCs w:val="22"/>
          <w:bdr w:val="none" w:sz="0" w:space="0" w:color="auto" w:frame="1"/>
          <w:lang w:val="en-GB" w:eastAsia="ar-SA"/>
        </w:rPr>
        <w:t>NGOs</w:t>
      </w:r>
      <w:r w:rsidR="00A30ABE" w:rsidRPr="00A12BDE">
        <w:rPr>
          <w:sz w:val="22"/>
          <w:szCs w:val="22"/>
          <w:bdr w:val="none" w:sz="0" w:space="0" w:color="auto" w:frame="1"/>
          <w:lang w:val="en-GB" w:eastAsia="ar-SA"/>
        </w:rPr>
        <w:t>)</w:t>
      </w:r>
      <w:r w:rsidRPr="00A12BDE">
        <w:rPr>
          <w:sz w:val="22"/>
          <w:szCs w:val="22"/>
          <w:bdr w:val="none" w:sz="0" w:space="0" w:color="auto" w:frame="1"/>
          <w:lang w:val="en-GB" w:eastAsia="ar-SA"/>
        </w:rPr>
        <w:t xml:space="preserve"> active in the health sector.</w:t>
      </w:r>
    </w:p>
    <w:p w14:paraId="49A38E95" w14:textId="77777777" w:rsidR="00AE21A5" w:rsidRPr="008E37A0" w:rsidRDefault="00DF7D72" w:rsidP="00D54AF1">
      <w:pPr>
        <w:pStyle w:val="Intestazione2"/>
        <w:tabs>
          <w:tab w:val="clear" w:pos="360"/>
        </w:tabs>
        <w:rPr>
          <w:lang w:val="en-GB"/>
        </w:rPr>
      </w:pPr>
      <w:r w:rsidRPr="008E37A0">
        <w:rPr>
          <w:lang w:val="en-GB"/>
        </w:rPr>
        <w:t>1.5</w:t>
      </w:r>
      <w:r w:rsidRPr="008E37A0">
        <w:rPr>
          <w:lang w:val="en-GB"/>
        </w:rPr>
        <w:tab/>
        <w:t>Problem analysis/priority areas for support</w:t>
      </w:r>
    </w:p>
    <w:p w14:paraId="2F2B189F" w14:textId="513131BF" w:rsidR="004803A8" w:rsidRPr="008E37A0" w:rsidRDefault="004919F9" w:rsidP="004803A8">
      <w:pPr>
        <w:pStyle w:val="Corpo"/>
        <w:spacing w:after="120"/>
        <w:jc w:val="both"/>
        <w:rPr>
          <w:b/>
          <w:sz w:val="22"/>
          <w:szCs w:val="22"/>
        </w:rPr>
      </w:pPr>
      <w:r w:rsidRPr="008E37A0">
        <w:rPr>
          <w:b/>
          <w:sz w:val="22"/>
          <w:szCs w:val="22"/>
        </w:rPr>
        <w:t>Health governance</w:t>
      </w:r>
      <w:r w:rsidR="004803A8" w:rsidRPr="008E37A0">
        <w:rPr>
          <w:b/>
          <w:sz w:val="22"/>
          <w:szCs w:val="22"/>
        </w:rPr>
        <w:t xml:space="preserve">: </w:t>
      </w:r>
      <w:r w:rsidR="004803A8" w:rsidRPr="008E37A0">
        <w:rPr>
          <w:sz w:val="22"/>
          <w:szCs w:val="22"/>
        </w:rPr>
        <w:t>Although many actions were undertaken, important policy areas such as reorienting financing towards more cost-effective primary care, and designing more transparent and equitable coverage policies lagged in implementation. The institutional capacity for governance and implementation of accountability systems continues to face challenges both at national and local levels. In governance, policy implementation has been hampered by weak inter-agency collaboration which is much needed for many health and health financing actions. Multi-level governance, decentralized management, subnational institutional capacity are also critical challenges.</w:t>
      </w:r>
    </w:p>
    <w:p w14:paraId="29AEB438" w14:textId="3BF9BB4F" w:rsidR="004919F9" w:rsidRPr="008E37A0" w:rsidRDefault="004803A8" w:rsidP="004919F9">
      <w:pPr>
        <w:pStyle w:val="Corpo"/>
        <w:spacing w:after="120"/>
        <w:jc w:val="both"/>
        <w:rPr>
          <w:sz w:val="22"/>
          <w:szCs w:val="22"/>
        </w:rPr>
      </w:pPr>
      <w:r w:rsidRPr="00A12BDE">
        <w:rPr>
          <w:sz w:val="22"/>
          <w:szCs w:val="22"/>
        </w:rPr>
        <w:t xml:space="preserve">The </w:t>
      </w:r>
      <w:r w:rsidR="004673FF" w:rsidRPr="00A12BDE">
        <w:rPr>
          <w:sz w:val="22"/>
          <w:szCs w:val="22"/>
        </w:rPr>
        <w:t>a</w:t>
      </w:r>
      <w:r w:rsidR="00377068" w:rsidRPr="00A12BDE">
        <w:rPr>
          <w:sz w:val="22"/>
          <w:szCs w:val="22"/>
        </w:rPr>
        <w:t>ction</w:t>
      </w:r>
      <w:r w:rsidRPr="00A12BDE">
        <w:rPr>
          <w:sz w:val="22"/>
          <w:szCs w:val="22"/>
        </w:rPr>
        <w:t xml:space="preserve"> will provide</w:t>
      </w:r>
      <w:r w:rsidR="004919F9" w:rsidRPr="00A12BDE">
        <w:rPr>
          <w:sz w:val="22"/>
          <w:szCs w:val="22"/>
        </w:rPr>
        <w:t xml:space="preserve"> further support </w:t>
      </w:r>
      <w:r w:rsidRPr="00A12BDE">
        <w:rPr>
          <w:sz w:val="22"/>
          <w:szCs w:val="22"/>
        </w:rPr>
        <w:t xml:space="preserve">in order the system to be </w:t>
      </w:r>
      <w:r w:rsidR="004919F9" w:rsidRPr="00A12BDE">
        <w:rPr>
          <w:sz w:val="22"/>
          <w:szCs w:val="22"/>
        </w:rPr>
        <w:t xml:space="preserve">evidence-based, consistent in objectives and action, well-coordinated across governance levels, competent and enabling the overall health system development. Advancements in the </w:t>
      </w:r>
      <w:r w:rsidRPr="00A12BDE">
        <w:rPr>
          <w:sz w:val="22"/>
          <w:szCs w:val="22"/>
        </w:rPr>
        <w:t xml:space="preserve">digitalization of health and </w:t>
      </w:r>
      <w:r w:rsidR="004919F9" w:rsidRPr="00A12BDE">
        <w:rPr>
          <w:sz w:val="22"/>
          <w:szCs w:val="22"/>
        </w:rPr>
        <w:t>health management information system (HMIS) should also play a constructive role in strengthening health system governance through developing monitoring and evaluation of results and providing evidence for informed strategic and operational management.</w:t>
      </w:r>
      <w:r w:rsidR="004919F9" w:rsidRPr="008E37A0">
        <w:rPr>
          <w:sz w:val="22"/>
          <w:szCs w:val="22"/>
        </w:rPr>
        <w:t xml:space="preserve">  </w:t>
      </w:r>
    </w:p>
    <w:p w14:paraId="0A053605" w14:textId="5A258A82" w:rsidR="008C0C9C" w:rsidRPr="008E37A0" w:rsidRDefault="009668AF" w:rsidP="008C0C9C">
      <w:pPr>
        <w:pStyle w:val="Corpo"/>
        <w:spacing w:after="120"/>
        <w:jc w:val="both"/>
        <w:rPr>
          <w:bCs/>
          <w:sz w:val="22"/>
          <w:szCs w:val="22"/>
        </w:rPr>
      </w:pPr>
      <w:r w:rsidRPr="00A12BDE">
        <w:rPr>
          <w:b/>
        </w:rPr>
        <w:t>Health financing</w:t>
      </w:r>
      <w:r w:rsidRPr="00A12BDE">
        <w:rPr>
          <w:rStyle w:val="Nessuno"/>
          <w:sz w:val="22"/>
          <w:szCs w:val="22"/>
        </w:rPr>
        <w:t xml:space="preserve">. </w:t>
      </w:r>
      <w:r w:rsidR="008C0C9C" w:rsidRPr="00A12BDE">
        <w:rPr>
          <w:bCs/>
          <w:sz w:val="22"/>
          <w:szCs w:val="22"/>
        </w:rPr>
        <w:t xml:space="preserve">The package of services has variable depth of coverage depending on the groups covered, with the lowest income groups enjoying the most comprehensive benefits. To finance the broader coverage, the government increased health spending significantly, although this remains low in </w:t>
      </w:r>
      <w:r w:rsidR="008C0C9C" w:rsidRPr="00A12BDE">
        <w:rPr>
          <w:bCs/>
          <w:sz w:val="22"/>
          <w:szCs w:val="22"/>
        </w:rPr>
        <w:lastRenderedPageBreak/>
        <w:t>international comparisons. Out-of-pocket payments have fallen as public spending has increased. Nevertheless, current health expenditure (CHE) is still dominated by OOP payments (57% in 2015), two thirds of which are for outpatient pharmaceuticals. For this reason, in July 2017, the package of benefits was expanded for the most vulnerable households to cover essential medicines for four common chronic conditions</w:t>
      </w:r>
      <w:r w:rsidR="008C0C9C" w:rsidRPr="00A12BDE">
        <w:rPr>
          <w:rStyle w:val="Lbjegyzet-hivatkozs"/>
          <w:bCs/>
          <w:sz w:val="22"/>
          <w:szCs w:val="22"/>
        </w:rPr>
        <w:footnoteReference w:id="18"/>
      </w:r>
      <w:r w:rsidR="008C0C9C" w:rsidRPr="00A12BDE">
        <w:rPr>
          <w:bCs/>
          <w:sz w:val="22"/>
          <w:szCs w:val="22"/>
        </w:rPr>
        <w:t>.</w:t>
      </w:r>
    </w:p>
    <w:p w14:paraId="64BD95BB" w14:textId="16DDF402" w:rsidR="00C367CB" w:rsidRPr="008E37A0" w:rsidRDefault="00C367CB" w:rsidP="00CA1368">
      <w:pPr>
        <w:pStyle w:val="Corpo"/>
        <w:spacing w:after="120"/>
        <w:jc w:val="both"/>
        <w:rPr>
          <w:color w:val="auto"/>
          <w:sz w:val="22"/>
          <w:szCs w:val="22"/>
        </w:rPr>
      </w:pPr>
      <w:r w:rsidRPr="00A12BDE">
        <w:rPr>
          <w:rStyle w:val="Nessuno"/>
          <w:sz w:val="22"/>
          <w:szCs w:val="22"/>
        </w:rPr>
        <w:t xml:space="preserve">The proposed </w:t>
      </w:r>
      <w:r w:rsidR="004673FF" w:rsidRPr="00A12BDE">
        <w:rPr>
          <w:rStyle w:val="Nessuno"/>
          <w:sz w:val="22"/>
          <w:szCs w:val="22"/>
        </w:rPr>
        <w:t>a</w:t>
      </w:r>
      <w:r w:rsidR="007F1AE6" w:rsidRPr="00A12BDE">
        <w:rPr>
          <w:rStyle w:val="Nessuno"/>
          <w:sz w:val="22"/>
          <w:szCs w:val="22"/>
        </w:rPr>
        <w:t xml:space="preserve">ction </w:t>
      </w:r>
      <w:r w:rsidRPr="00A12BDE">
        <w:rPr>
          <w:rStyle w:val="Nessuno"/>
          <w:sz w:val="22"/>
          <w:szCs w:val="22"/>
        </w:rPr>
        <w:t xml:space="preserve">will support strengthening of health financing (HF) </w:t>
      </w:r>
      <w:r w:rsidR="00D448DC" w:rsidRPr="00A12BDE">
        <w:rPr>
          <w:rStyle w:val="Nessuno"/>
          <w:sz w:val="22"/>
          <w:szCs w:val="22"/>
        </w:rPr>
        <w:t>and can be sustained</w:t>
      </w:r>
      <w:r w:rsidRPr="00A12BDE">
        <w:rPr>
          <w:rStyle w:val="Nessuno"/>
          <w:sz w:val="22"/>
          <w:szCs w:val="22"/>
        </w:rPr>
        <w:t>, deepening and broadening the scope of HF interventions, prioritizing nation-wide scale while utilizing advancements in public finance management taking place. Proposed HF interventions will include:</w:t>
      </w:r>
      <w:r w:rsidRPr="00A12BDE">
        <w:rPr>
          <w:sz w:val="22"/>
          <w:szCs w:val="22"/>
        </w:rPr>
        <w:t xml:space="preserve"> </w:t>
      </w:r>
      <w:r w:rsidR="00A208CE" w:rsidRPr="00A12BDE">
        <w:rPr>
          <w:sz w:val="22"/>
          <w:szCs w:val="22"/>
        </w:rPr>
        <w:t xml:space="preserve">(i) </w:t>
      </w:r>
      <w:r w:rsidR="004919F9" w:rsidRPr="00A12BDE">
        <w:rPr>
          <w:sz w:val="22"/>
          <w:szCs w:val="22"/>
        </w:rPr>
        <w:t>I</w:t>
      </w:r>
      <w:r w:rsidRPr="00A12BDE">
        <w:rPr>
          <w:color w:val="auto"/>
          <w:sz w:val="22"/>
          <w:szCs w:val="22"/>
        </w:rPr>
        <w:t xml:space="preserve">mprovements in health financing; </w:t>
      </w:r>
      <w:r w:rsidR="00A208CE" w:rsidRPr="00A12BDE">
        <w:rPr>
          <w:color w:val="auto"/>
          <w:sz w:val="22"/>
          <w:szCs w:val="22"/>
        </w:rPr>
        <w:t xml:space="preserve">(ii) </w:t>
      </w:r>
      <w:r w:rsidRPr="00A12BDE">
        <w:rPr>
          <w:color w:val="auto"/>
          <w:sz w:val="22"/>
          <w:szCs w:val="22"/>
        </w:rPr>
        <w:t xml:space="preserve">Equalizing health budget allocations; </w:t>
      </w:r>
      <w:r w:rsidR="00A208CE" w:rsidRPr="00A12BDE">
        <w:rPr>
          <w:color w:val="auto"/>
          <w:sz w:val="22"/>
          <w:szCs w:val="22"/>
        </w:rPr>
        <w:t xml:space="preserve">(iii) </w:t>
      </w:r>
      <w:r w:rsidRPr="00A12BDE">
        <w:rPr>
          <w:color w:val="auto"/>
          <w:sz w:val="22"/>
          <w:szCs w:val="22"/>
        </w:rPr>
        <w:t>Supporting introduction of PHC and hospital service strategic purchasing by developing contracting mechanism between a purchaser and health facilities;</w:t>
      </w:r>
      <w:r w:rsidR="00A208CE" w:rsidRPr="00A12BDE">
        <w:rPr>
          <w:color w:val="auto"/>
          <w:sz w:val="22"/>
          <w:szCs w:val="22"/>
        </w:rPr>
        <w:t xml:space="preserve"> (iv) </w:t>
      </w:r>
      <w:r w:rsidRPr="00A12BDE">
        <w:rPr>
          <w:color w:val="auto"/>
          <w:sz w:val="22"/>
          <w:szCs w:val="22"/>
        </w:rPr>
        <w:t xml:space="preserve">Forecasting and planning for gradual replacement of external funding by domestic resources; </w:t>
      </w:r>
      <w:r w:rsidR="00A208CE" w:rsidRPr="00A12BDE">
        <w:rPr>
          <w:color w:val="auto"/>
          <w:sz w:val="22"/>
          <w:szCs w:val="22"/>
        </w:rPr>
        <w:t xml:space="preserve">(v) </w:t>
      </w:r>
      <w:r w:rsidRPr="00A12BDE">
        <w:rPr>
          <w:color w:val="auto"/>
          <w:sz w:val="22"/>
          <w:szCs w:val="22"/>
        </w:rPr>
        <w:t xml:space="preserve">Upgrading investment planning for health sector; </w:t>
      </w:r>
      <w:r w:rsidR="00A208CE" w:rsidRPr="00A12BDE">
        <w:rPr>
          <w:color w:val="auto"/>
          <w:sz w:val="22"/>
          <w:szCs w:val="22"/>
        </w:rPr>
        <w:t xml:space="preserve">(vi) </w:t>
      </w:r>
      <w:r w:rsidRPr="00A12BDE">
        <w:rPr>
          <w:color w:val="auto"/>
          <w:sz w:val="22"/>
          <w:szCs w:val="22"/>
        </w:rPr>
        <w:t>Enhancing financial reporting through integration of utilization and financial results with activity/service utilization results.</w:t>
      </w:r>
      <w:r w:rsidR="002949B0" w:rsidRPr="008E37A0">
        <w:rPr>
          <w:color w:val="auto"/>
          <w:sz w:val="22"/>
          <w:szCs w:val="22"/>
        </w:rPr>
        <w:t xml:space="preserve"> </w:t>
      </w:r>
    </w:p>
    <w:p w14:paraId="1E4BADBB" w14:textId="539DC0DA" w:rsidR="008C0C9C" w:rsidRPr="008E37A0" w:rsidRDefault="00377068" w:rsidP="008C0C9C">
      <w:pPr>
        <w:pStyle w:val="Corpo"/>
        <w:spacing w:after="120"/>
        <w:jc w:val="both"/>
        <w:rPr>
          <w:sz w:val="22"/>
          <w:szCs w:val="22"/>
        </w:rPr>
      </w:pPr>
      <w:r w:rsidRPr="008E37A0">
        <w:rPr>
          <w:b/>
          <w:sz w:val="22"/>
          <w:szCs w:val="22"/>
        </w:rPr>
        <w:t>S</w:t>
      </w:r>
      <w:r w:rsidR="008C0C9C" w:rsidRPr="008E37A0">
        <w:rPr>
          <w:b/>
          <w:sz w:val="22"/>
          <w:szCs w:val="22"/>
        </w:rPr>
        <w:t>ervice delivery</w:t>
      </w:r>
      <w:r w:rsidR="00B93367" w:rsidRPr="008E37A0">
        <w:rPr>
          <w:b/>
          <w:sz w:val="22"/>
          <w:szCs w:val="22"/>
        </w:rPr>
        <w:t xml:space="preserve">. </w:t>
      </w:r>
      <w:r w:rsidR="008C0C9C" w:rsidRPr="008E37A0">
        <w:rPr>
          <w:sz w:val="22"/>
          <w:szCs w:val="22"/>
        </w:rPr>
        <w:t>The health system has retained extensive infrastructure with strong geographical coverage. Georgia also has a large number of doctors per capita, but an acute shortage of nurses. Incentives in the system for patients and providers favour emergency and inpatient care over primary care. There are also limited financial incentives to improve the quality of care and a lack of disincentives to inhibit poor quality care. Recent reform plans focus on ensuring universal access to high-quality medical services, strengthening primary care and public health services, and increasing financial protection</w:t>
      </w:r>
      <w:r w:rsidR="008C0C9C" w:rsidRPr="008E37A0">
        <w:rPr>
          <w:rStyle w:val="Lbjegyzet-hivatkozs"/>
          <w:sz w:val="22"/>
          <w:szCs w:val="22"/>
        </w:rPr>
        <w:footnoteReference w:id="19"/>
      </w:r>
      <w:r w:rsidR="008C0C9C" w:rsidRPr="008E37A0">
        <w:rPr>
          <w:sz w:val="22"/>
          <w:szCs w:val="22"/>
        </w:rPr>
        <w:t xml:space="preserve">. </w:t>
      </w:r>
    </w:p>
    <w:p w14:paraId="348CA96B" w14:textId="587BBE98" w:rsidR="00AE21A5" w:rsidRPr="008E37A0" w:rsidRDefault="00DF7D72" w:rsidP="008C0C9C">
      <w:pPr>
        <w:pStyle w:val="Corpo"/>
        <w:spacing w:after="120"/>
        <w:jc w:val="both"/>
        <w:rPr>
          <w:rStyle w:val="Nessuno"/>
          <w:sz w:val="22"/>
          <w:szCs w:val="22"/>
        </w:rPr>
      </w:pPr>
      <w:r w:rsidRPr="008E37A0">
        <w:rPr>
          <w:rStyle w:val="Nessuno"/>
          <w:sz w:val="22"/>
          <w:szCs w:val="22"/>
        </w:rPr>
        <w:t xml:space="preserve">The obstacles of access to quality health care for the population of </w:t>
      </w:r>
      <w:r w:rsidR="004919F9" w:rsidRPr="008E37A0">
        <w:rPr>
          <w:rStyle w:val="Nessuno"/>
          <w:sz w:val="22"/>
          <w:szCs w:val="22"/>
        </w:rPr>
        <w:t>Georgia</w:t>
      </w:r>
      <w:r w:rsidRPr="008E37A0">
        <w:rPr>
          <w:rStyle w:val="Nessuno"/>
          <w:sz w:val="22"/>
          <w:szCs w:val="22"/>
        </w:rPr>
        <w:t xml:space="preserve"> are many: inadequate funding of the health sector; weak and ineffective health care delivery system; insufficient quality of health care providers; low level of monitoring and evaluation of services; outdated health infrastructure and equipment; low level of health related awareness of the population; and geographical inaccessibility. </w:t>
      </w:r>
      <w:r w:rsidR="00A675FF" w:rsidRPr="008E37A0">
        <w:rPr>
          <w:rStyle w:val="Nessuno"/>
          <w:sz w:val="22"/>
          <w:szCs w:val="22"/>
        </w:rPr>
        <w:t>V</w:t>
      </w:r>
      <w:r w:rsidR="00565E80" w:rsidRPr="008E37A0">
        <w:rPr>
          <w:rStyle w:val="Nessuno"/>
          <w:sz w:val="22"/>
          <w:szCs w:val="22"/>
        </w:rPr>
        <w:t xml:space="preserve">ertical </w:t>
      </w:r>
      <w:r w:rsidR="00A675FF" w:rsidRPr="008E37A0">
        <w:rPr>
          <w:rStyle w:val="Nessuno"/>
          <w:sz w:val="22"/>
          <w:szCs w:val="22"/>
        </w:rPr>
        <w:t xml:space="preserve">service delivery </w:t>
      </w:r>
      <w:r w:rsidR="00565E80" w:rsidRPr="008E37A0">
        <w:rPr>
          <w:rStyle w:val="Nessuno"/>
          <w:sz w:val="22"/>
          <w:szCs w:val="22"/>
        </w:rPr>
        <w:t xml:space="preserve">programs </w:t>
      </w:r>
      <w:r w:rsidR="00084CCE" w:rsidRPr="008E37A0">
        <w:rPr>
          <w:rStyle w:val="Nessuno"/>
          <w:sz w:val="22"/>
          <w:szCs w:val="22"/>
        </w:rPr>
        <w:t xml:space="preserve">tend to </w:t>
      </w:r>
      <w:r w:rsidR="00565E80" w:rsidRPr="008E37A0">
        <w:rPr>
          <w:rStyle w:val="Nessuno"/>
          <w:sz w:val="22"/>
          <w:szCs w:val="22"/>
        </w:rPr>
        <w:t xml:space="preserve">defragment the delivery system and </w:t>
      </w:r>
      <w:r w:rsidRPr="008E37A0">
        <w:rPr>
          <w:rStyle w:val="Nessuno"/>
          <w:sz w:val="22"/>
          <w:szCs w:val="22"/>
        </w:rPr>
        <w:t xml:space="preserve">drain resources that could be efficiently and effectively used at </w:t>
      </w:r>
      <w:r w:rsidR="00565E80" w:rsidRPr="008E37A0">
        <w:rPr>
          <w:rStyle w:val="Nessuno"/>
          <w:sz w:val="22"/>
          <w:szCs w:val="22"/>
        </w:rPr>
        <w:t xml:space="preserve">the </w:t>
      </w:r>
      <w:r w:rsidRPr="008E37A0">
        <w:rPr>
          <w:rStyle w:val="Nessuno"/>
          <w:sz w:val="22"/>
          <w:szCs w:val="22"/>
        </w:rPr>
        <w:t>PHC level. Th</w:t>
      </w:r>
      <w:r w:rsidR="00003190" w:rsidRPr="008E37A0">
        <w:rPr>
          <w:rStyle w:val="Nessuno"/>
          <w:sz w:val="22"/>
          <w:szCs w:val="22"/>
        </w:rPr>
        <w:t>e</w:t>
      </w:r>
      <w:r w:rsidRPr="008E37A0">
        <w:rPr>
          <w:rStyle w:val="Nessuno"/>
          <w:sz w:val="22"/>
          <w:szCs w:val="22"/>
        </w:rPr>
        <w:t xml:space="preserve"> secondary care focused system leads to </w:t>
      </w:r>
      <w:r w:rsidR="00597DB4" w:rsidRPr="008E37A0">
        <w:rPr>
          <w:rStyle w:val="Nessuno"/>
          <w:sz w:val="22"/>
          <w:szCs w:val="22"/>
        </w:rPr>
        <w:t xml:space="preserve">lower </w:t>
      </w:r>
      <w:r w:rsidRPr="008E37A0">
        <w:rPr>
          <w:rStyle w:val="Nessuno"/>
          <w:sz w:val="22"/>
          <w:szCs w:val="22"/>
        </w:rPr>
        <w:t>access</w:t>
      </w:r>
      <w:r w:rsidR="00003190" w:rsidRPr="008E37A0">
        <w:rPr>
          <w:rStyle w:val="Nessuno"/>
          <w:sz w:val="22"/>
          <w:szCs w:val="22"/>
        </w:rPr>
        <w:t>ibility</w:t>
      </w:r>
      <w:r w:rsidRPr="008E37A0">
        <w:rPr>
          <w:rStyle w:val="Nessuno"/>
          <w:sz w:val="22"/>
          <w:szCs w:val="22"/>
        </w:rPr>
        <w:t xml:space="preserve"> and </w:t>
      </w:r>
      <w:r w:rsidR="00597DB4" w:rsidRPr="008E37A0">
        <w:rPr>
          <w:rStyle w:val="Nessuno"/>
          <w:sz w:val="22"/>
          <w:szCs w:val="22"/>
        </w:rPr>
        <w:t xml:space="preserve">greater costs of </w:t>
      </w:r>
      <w:r w:rsidRPr="008E37A0">
        <w:rPr>
          <w:rStyle w:val="Nessuno"/>
          <w:sz w:val="22"/>
          <w:szCs w:val="22"/>
        </w:rPr>
        <w:t xml:space="preserve">service delivery. </w:t>
      </w:r>
      <w:r w:rsidR="00597DB4" w:rsidRPr="008E37A0">
        <w:rPr>
          <w:rStyle w:val="Nessuno"/>
          <w:sz w:val="22"/>
          <w:szCs w:val="22"/>
        </w:rPr>
        <w:t xml:space="preserve">Modernization and strengthening of </w:t>
      </w:r>
      <w:r w:rsidRPr="008E37A0">
        <w:rPr>
          <w:rStyle w:val="Nessuno"/>
          <w:sz w:val="22"/>
          <w:szCs w:val="22"/>
        </w:rPr>
        <w:t xml:space="preserve">PHC requires </w:t>
      </w:r>
      <w:r w:rsidR="00597DB4" w:rsidRPr="008E37A0">
        <w:rPr>
          <w:rStyle w:val="Nessuno"/>
          <w:sz w:val="22"/>
          <w:szCs w:val="22"/>
        </w:rPr>
        <w:t xml:space="preserve">improved resource base of the PHC starting with planning, deployment and retention of qualified </w:t>
      </w:r>
      <w:r w:rsidRPr="008E37A0">
        <w:rPr>
          <w:rStyle w:val="Nessuno"/>
          <w:sz w:val="22"/>
          <w:szCs w:val="22"/>
        </w:rPr>
        <w:t xml:space="preserve">workforce, </w:t>
      </w:r>
      <w:r w:rsidR="00597DB4" w:rsidRPr="008E37A0">
        <w:rPr>
          <w:rStyle w:val="Nessuno"/>
          <w:sz w:val="22"/>
          <w:szCs w:val="22"/>
        </w:rPr>
        <w:t xml:space="preserve">effective mechanisms of increasing </w:t>
      </w:r>
      <w:r w:rsidRPr="008E37A0">
        <w:rPr>
          <w:rStyle w:val="Nessuno"/>
          <w:sz w:val="22"/>
          <w:szCs w:val="22"/>
        </w:rPr>
        <w:t xml:space="preserve">utilization of </w:t>
      </w:r>
      <w:r w:rsidR="00597DB4" w:rsidRPr="008E37A0">
        <w:rPr>
          <w:rStyle w:val="Nessuno"/>
          <w:sz w:val="22"/>
          <w:szCs w:val="22"/>
        </w:rPr>
        <w:t xml:space="preserve">PHC </w:t>
      </w:r>
      <w:r w:rsidRPr="008E37A0">
        <w:rPr>
          <w:rStyle w:val="Nessuno"/>
          <w:sz w:val="22"/>
          <w:szCs w:val="22"/>
        </w:rPr>
        <w:t>services</w:t>
      </w:r>
      <w:r w:rsidR="00597DB4" w:rsidRPr="008E37A0">
        <w:rPr>
          <w:rStyle w:val="Nessuno"/>
          <w:sz w:val="22"/>
          <w:szCs w:val="22"/>
        </w:rPr>
        <w:t xml:space="preserve"> and improving quality of PHC</w:t>
      </w:r>
      <w:r w:rsidR="009813B3" w:rsidRPr="008E37A0">
        <w:rPr>
          <w:rStyle w:val="Nessuno"/>
          <w:sz w:val="22"/>
          <w:szCs w:val="22"/>
        </w:rPr>
        <w:t>.</w:t>
      </w:r>
      <w:r w:rsidR="00597DB4" w:rsidRPr="008E37A0">
        <w:rPr>
          <w:rStyle w:val="Nessuno"/>
          <w:sz w:val="22"/>
          <w:szCs w:val="22"/>
        </w:rPr>
        <w:t xml:space="preserve"> </w:t>
      </w:r>
    </w:p>
    <w:p w14:paraId="73233221" w14:textId="6DD231C2" w:rsidR="0029695E" w:rsidRPr="008E37A0" w:rsidRDefault="0029695E" w:rsidP="004803A8">
      <w:pPr>
        <w:pStyle w:val="Corpo"/>
        <w:jc w:val="both"/>
        <w:rPr>
          <w:sz w:val="22"/>
          <w:szCs w:val="22"/>
        </w:rPr>
      </w:pPr>
      <w:r w:rsidRPr="008E37A0">
        <w:rPr>
          <w:sz w:val="22"/>
          <w:szCs w:val="22"/>
        </w:rPr>
        <w:t xml:space="preserve">NCDs predominate as the main causes of mortality in Georgia for both men and women. Poverty, alcohol and tobacco are the key health risks and mortality and morbidity from these factors account for a sizeable burden on society. This is undermining social and economic development in Georgia and thus represents an urgent public health priority. Health-seeking behaviour of the population is characterized by higher trust on hospital-based and specialised care, low sense of responsibility of one’s own health and low empowerment of individuals for self-care and self-education in health, with marked gendered differentials. There are few state-supported health promotion activities sustained by the PHC system. The </w:t>
      </w:r>
      <w:r w:rsidR="003425B8">
        <w:rPr>
          <w:sz w:val="22"/>
          <w:szCs w:val="22"/>
        </w:rPr>
        <w:t>action</w:t>
      </w:r>
      <w:r w:rsidRPr="008E37A0">
        <w:rPr>
          <w:sz w:val="22"/>
          <w:szCs w:val="22"/>
        </w:rPr>
        <w:t xml:space="preserve"> will contribute to the improvement of the health status of the population in Georgia, especially in rural areas through the reduction of the burden of NCDs.  </w:t>
      </w:r>
    </w:p>
    <w:p w14:paraId="72780B6F" w14:textId="77777777" w:rsidR="00AE21A5" w:rsidRPr="008E37A0" w:rsidRDefault="00DF7D72" w:rsidP="00B76ECC">
      <w:pPr>
        <w:pStyle w:val="Intestazione"/>
        <w:numPr>
          <w:ilvl w:val="0"/>
          <w:numId w:val="4"/>
        </w:numPr>
        <w:rPr>
          <w:rStyle w:val="Nessuno"/>
          <w:b w:val="0"/>
          <w:bCs w:val="0"/>
          <w:smallCaps w:val="0"/>
        </w:rPr>
      </w:pPr>
      <w:r w:rsidRPr="008E37A0">
        <w:rPr>
          <w:rStyle w:val="Nessuno"/>
        </w:rPr>
        <w:t xml:space="preserve">Risks and Assumptions </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3689"/>
        <w:gridCol w:w="1154"/>
        <w:gridCol w:w="4213"/>
      </w:tblGrid>
      <w:tr w:rsidR="0002292F" w:rsidRPr="008E37A0" w14:paraId="42D9798B" w14:textId="77777777" w:rsidTr="00377068">
        <w:trPr>
          <w:trHeight w:val="491"/>
        </w:trPr>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0AAE60" w14:textId="43E90FDA" w:rsidR="0002292F" w:rsidRPr="008E37A0" w:rsidRDefault="0002292F" w:rsidP="00377068">
            <w:pPr>
              <w:pStyle w:val="Corpo"/>
              <w:tabs>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jc w:val="center"/>
              <w:rPr>
                <w:rStyle w:val="Nessuno"/>
                <w:rFonts w:eastAsia="Arial Unicode MS"/>
                <w:color w:val="auto"/>
                <w:sz w:val="22"/>
                <w:szCs w:val="22"/>
                <w:lang w:eastAsia="en-US"/>
              </w:rPr>
            </w:pPr>
            <w:r w:rsidRPr="008E37A0">
              <w:rPr>
                <w:rStyle w:val="Nessuno"/>
                <w:b/>
                <w:bCs/>
                <w:sz w:val="22"/>
                <w:szCs w:val="22"/>
              </w:rPr>
              <w:t>Risks</w:t>
            </w:r>
          </w:p>
        </w:tc>
        <w:tc>
          <w:tcPr>
            <w:tcW w:w="6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D076D6" w14:textId="1BA2E27F" w:rsidR="0002292F" w:rsidRPr="008E37A0" w:rsidRDefault="0002292F" w:rsidP="00377068">
            <w:pPr>
              <w:pStyle w:val="Corpo"/>
              <w:jc w:val="center"/>
              <w:rPr>
                <w:rStyle w:val="Nessuno"/>
                <w:color w:val="FFFFFF"/>
                <w:sz w:val="22"/>
                <w:szCs w:val="22"/>
                <w:u w:color="FFFFFF"/>
              </w:rPr>
            </w:pPr>
            <w:r w:rsidRPr="008E37A0">
              <w:rPr>
                <w:b/>
                <w:sz w:val="22"/>
                <w:szCs w:val="22"/>
              </w:rPr>
              <w:t>Risk level (H/M/L)</w:t>
            </w:r>
          </w:p>
        </w:tc>
        <w:tc>
          <w:tcPr>
            <w:tcW w:w="2326" w:type="pct"/>
            <w:tcBorders>
              <w:top w:val="single" w:sz="4" w:space="0" w:color="000000"/>
              <w:left w:val="single" w:sz="4" w:space="0" w:color="000000"/>
              <w:bottom w:val="single" w:sz="4" w:space="0" w:color="000000"/>
              <w:right w:val="single" w:sz="4" w:space="0" w:color="000000"/>
            </w:tcBorders>
            <w:shd w:val="clear" w:color="auto" w:fill="auto"/>
            <w:tcMar>
              <w:top w:w="80" w:type="dxa"/>
              <w:left w:w="255" w:type="dxa"/>
              <w:bottom w:w="80" w:type="dxa"/>
              <w:right w:w="80" w:type="dxa"/>
            </w:tcMar>
            <w:vAlign w:val="center"/>
          </w:tcPr>
          <w:p w14:paraId="6A6BC10A" w14:textId="353AEFCE" w:rsidR="0002292F" w:rsidRPr="008E37A0" w:rsidRDefault="0002292F" w:rsidP="00377068">
            <w:pPr>
              <w:pStyle w:val="ListNumber1"/>
              <w:tabs>
                <w:tab w:val="left" w:pos="720"/>
              </w:tabs>
              <w:spacing w:before="0" w:after="0"/>
              <w:jc w:val="center"/>
              <w:rPr>
                <w:rStyle w:val="Nessuno"/>
                <w:sz w:val="22"/>
                <w:szCs w:val="22"/>
                <w:lang w:val="en-GB"/>
              </w:rPr>
            </w:pPr>
            <w:r w:rsidRPr="008E37A0">
              <w:rPr>
                <w:rStyle w:val="Nessuno"/>
                <w:b/>
                <w:bCs/>
                <w:sz w:val="22"/>
                <w:szCs w:val="22"/>
                <w:lang w:val="en-GB"/>
              </w:rPr>
              <w:t xml:space="preserve">Mitigating </w:t>
            </w:r>
            <w:r w:rsidR="00643BCF" w:rsidRPr="008E37A0">
              <w:rPr>
                <w:rStyle w:val="Nessuno"/>
                <w:b/>
                <w:bCs/>
                <w:sz w:val="22"/>
                <w:szCs w:val="22"/>
                <w:lang w:val="en-GB"/>
              </w:rPr>
              <w:t>m</w:t>
            </w:r>
            <w:r w:rsidRPr="008E37A0">
              <w:rPr>
                <w:rStyle w:val="Nessuno"/>
                <w:b/>
                <w:bCs/>
                <w:sz w:val="22"/>
                <w:szCs w:val="22"/>
                <w:lang w:val="en-GB"/>
              </w:rPr>
              <w:t>easures</w:t>
            </w:r>
          </w:p>
        </w:tc>
      </w:tr>
      <w:tr w:rsidR="0002292F" w:rsidRPr="008E37A0" w14:paraId="2E4799E6" w14:textId="77777777" w:rsidTr="00212975">
        <w:trPr>
          <w:trHeight w:val="806"/>
        </w:trPr>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B7B0E" w14:textId="3A7BCBBF" w:rsidR="0002292F" w:rsidRPr="008E37A0" w:rsidRDefault="0002292F" w:rsidP="002038AA">
            <w:pPr>
              <w:pStyle w:val="Corpo"/>
              <w:tabs>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rPr>
                <w:sz w:val="22"/>
                <w:szCs w:val="22"/>
              </w:rPr>
            </w:pPr>
            <w:r w:rsidRPr="008E37A0">
              <w:rPr>
                <w:rStyle w:val="Nessuno"/>
                <w:sz w:val="22"/>
                <w:szCs w:val="22"/>
              </w:rPr>
              <w:lastRenderedPageBreak/>
              <w:t xml:space="preserve">Political and economic instability within the country and/or within the region disrupts the implementation of the </w:t>
            </w:r>
            <w:r w:rsidR="00D36293" w:rsidRPr="008E37A0">
              <w:rPr>
                <w:rStyle w:val="Nessuno"/>
                <w:sz w:val="22"/>
                <w:szCs w:val="22"/>
              </w:rPr>
              <w:t>National Health Strategy</w:t>
            </w:r>
            <w:r w:rsidRPr="008E37A0">
              <w:rPr>
                <w:rStyle w:val="Nessuno"/>
                <w:sz w:val="22"/>
                <w:szCs w:val="22"/>
              </w:rPr>
              <w:t>.</w:t>
            </w:r>
          </w:p>
        </w:tc>
        <w:tc>
          <w:tcPr>
            <w:tcW w:w="6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C8CB8" w14:textId="77777777" w:rsidR="0002292F" w:rsidRPr="008E37A0" w:rsidRDefault="0002292F">
            <w:pPr>
              <w:pStyle w:val="Corpo"/>
              <w:jc w:val="center"/>
              <w:rPr>
                <w:color w:val="000000" w:themeColor="text1"/>
              </w:rPr>
            </w:pPr>
            <w:r w:rsidRPr="008E37A0">
              <w:rPr>
                <w:rStyle w:val="Nessuno"/>
                <w:color w:val="000000" w:themeColor="text1"/>
                <w:sz w:val="22"/>
                <w:szCs w:val="22"/>
                <w:u w:color="FFFFFF"/>
              </w:rPr>
              <w:t>M</w:t>
            </w:r>
          </w:p>
        </w:tc>
        <w:tc>
          <w:tcPr>
            <w:tcW w:w="2326" w:type="pct"/>
            <w:tcBorders>
              <w:top w:val="single" w:sz="4" w:space="0" w:color="000000"/>
              <w:left w:val="single" w:sz="4" w:space="0" w:color="000000"/>
              <w:bottom w:val="single" w:sz="4" w:space="0" w:color="000000"/>
              <w:right w:val="single" w:sz="4" w:space="0" w:color="000000"/>
            </w:tcBorders>
            <w:shd w:val="clear" w:color="auto" w:fill="auto"/>
            <w:tcMar>
              <w:top w:w="80" w:type="dxa"/>
              <w:left w:w="255" w:type="dxa"/>
              <w:bottom w:w="80" w:type="dxa"/>
              <w:right w:w="80" w:type="dxa"/>
            </w:tcMar>
          </w:tcPr>
          <w:p w14:paraId="167F575F" w14:textId="1E23AAB9" w:rsidR="0002292F" w:rsidRPr="008E37A0" w:rsidRDefault="0002292F" w:rsidP="00212975">
            <w:pPr>
              <w:pStyle w:val="ListNumber1"/>
              <w:tabs>
                <w:tab w:val="left" w:pos="720"/>
              </w:tabs>
              <w:spacing w:before="0" w:after="0"/>
              <w:jc w:val="left"/>
              <w:rPr>
                <w:lang w:val="en-GB"/>
              </w:rPr>
            </w:pPr>
            <w:r w:rsidRPr="008E37A0">
              <w:rPr>
                <w:rStyle w:val="Nessuno"/>
                <w:sz w:val="22"/>
                <w:szCs w:val="22"/>
                <w:lang w:val="en-GB"/>
              </w:rPr>
              <w:t>Continued political and policy dialogue with the Government.</w:t>
            </w:r>
            <w:r w:rsidR="00AE49D1" w:rsidRPr="008E37A0">
              <w:rPr>
                <w:rStyle w:val="Nessuno"/>
                <w:sz w:val="22"/>
                <w:szCs w:val="22"/>
                <w:lang w:val="en-GB"/>
              </w:rPr>
              <w:t xml:space="preserve"> Monitoring of the parliamentary election in 2020.</w:t>
            </w:r>
          </w:p>
        </w:tc>
      </w:tr>
      <w:tr w:rsidR="0002292F" w:rsidRPr="008E37A0" w14:paraId="6ECFFCAD" w14:textId="77777777" w:rsidTr="00377068">
        <w:trPr>
          <w:trHeight w:val="1078"/>
        </w:trPr>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7E3DA" w14:textId="77777777" w:rsidR="0002292F" w:rsidRPr="008E37A0" w:rsidRDefault="0002292F" w:rsidP="002038AA">
            <w:pPr>
              <w:pStyle w:val="Corpo"/>
              <w:tabs>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rPr>
                <w:sz w:val="22"/>
                <w:szCs w:val="22"/>
              </w:rPr>
            </w:pPr>
            <w:r w:rsidRPr="008E37A0">
              <w:rPr>
                <w:rStyle w:val="Nessuno"/>
                <w:sz w:val="22"/>
                <w:szCs w:val="22"/>
              </w:rPr>
              <w:t>The Government's socio-economic priorities fluctuate as a result of financial crisis and declining revenue streams.</w:t>
            </w:r>
          </w:p>
        </w:tc>
        <w:tc>
          <w:tcPr>
            <w:tcW w:w="6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CC6C2" w14:textId="77777777" w:rsidR="0002292F" w:rsidRPr="008E37A0" w:rsidRDefault="0002292F" w:rsidP="00D54AF1">
            <w:pPr>
              <w:pStyle w:val="Corpo"/>
              <w:jc w:val="center"/>
              <w:rPr>
                <w:color w:val="000000" w:themeColor="text1"/>
              </w:rPr>
            </w:pPr>
            <w:r w:rsidRPr="008E37A0">
              <w:rPr>
                <w:rStyle w:val="Nessuno"/>
                <w:color w:val="000000" w:themeColor="text1"/>
                <w:sz w:val="22"/>
                <w:szCs w:val="22"/>
                <w:u w:color="FFFFFF"/>
              </w:rPr>
              <w:t>H</w:t>
            </w:r>
          </w:p>
        </w:tc>
        <w:tc>
          <w:tcPr>
            <w:tcW w:w="2326" w:type="pct"/>
            <w:tcBorders>
              <w:top w:val="single" w:sz="4" w:space="0" w:color="000000"/>
              <w:left w:val="single" w:sz="4" w:space="0" w:color="000000"/>
              <w:bottom w:val="single" w:sz="4" w:space="0" w:color="000000"/>
              <w:right w:val="single" w:sz="4" w:space="0" w:color="000000"/>
            </w:tcBorders>
            <w:shd w:val="clear" w:color="auto" w:fill="auto"/>
            <w:tcMar>
              <w:top w:w="80" w:type="dxa"/>
              <w:left w:w="255" w:type="dxa"/>
              <w:bottom w:w="80" w:type="dxa"/>
              <w:right w:w="80" w:type="dxa"/>
            </w:tcMar>
          </w:tcPr>
          <w:p w14:paraId="1D01F2E5" w14:textId="6DF74638" w:rsidR="0002292F" w:rsidRPr="00A12BDE" w:rsidRDefault="0002292F" w:rsidP="00212975">
            <w:pPr>
              <w:pStyle w:val="ListNumber1"/>
              <w:tabs>
                <w:tab w:val="left" w:pos="720"/>
              </w:tabs>
              <w:spacing w:before="0" w:after="0"/>
              <w:jc w:val="left"/>
              <w:rPr>
                <w:lang w:val="en-GB"/>
              </w:rPr>
            </w:pPr>
            <w:r w:rsidRPr="00A12BDE">
              <w:rPr>
                <w:rStyle w:val="Nessuno"/>
                <w:sz w:val="22"/>
                <w:szCs w:val="22"/>
                <w:lang w:val="en-GB"/>
              </w:rPr>
              <w:t xml:space="preserve">Close monitoring of macro-economic and public finance management policies together with </w:t>
            </w:r>
            <w:r w:rsidR="00D36293" w:rsidRPr="00A12BDE">
              <w:rPr>
                <w:rStyle w:val="Nessuno"/>
                <w:sz w:val="22"/>
                <w:szCs w:val="22"/>
                <w:lang w:val="en-GB"/>
              </w:rPr>
              <w:t xml:space="preserve">international organizations (EU, </w:t>
            </w:r>
            <w:r w:rsidRPr="00A12BDE">
              <w:rPr>
                <w:rStyle w:val="Nessuno"/>
                <w:sz w:val="22"/>
                <w:szCs w:val="22"/>
                <w:lang w:val="en-GB"/>
              </w:rPr>
              <w:t>IMF and the World Bank</w:t>
            </w:r>
            <w:r w:rsidR="00E6161B" w:rsidRPr="00A12BDE">
              <w:rPr>
                <w:rStyle w:val="Nessuno"/>
                <w:sz w:val="22"/>
                <w:szCs w:val="22"/>
                <w:lang w:val="en-GB"/>
              </w:rPr>
              <w:t xml:space="preserve">). </w:t>
            </w:r>
          </w:p>
        </w:tc>
      </w:tr>
      <w:tr w:rsidR="0002292F" w:rsidRPr="008E37A0" w14:paraId="39C0B132" w14:textId="77777777" w:rsidTr="00212975">
        <w:trPr>
          <w:trHeight w:val="1688"/>
        </w:trPr>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D6F9C" w14:textId="3E93169B" w:rsidR="0002292F" w:rsidRPr="008E37A0" w:rsidRDefault="0002292F" w:rsidP="002038AA">
            <w:pPr>
              <w:pStyle w:val="Corpo"/>
              <w:widowControl w:val="0"/>
              <w:rPr>
                <w:sz w:val="22"/>
                <w:szCs w:val="22"/>
              </w:rPr>
            </w:pPr>
            <w:r w:rsidRPr="008E37A0">
              <w:rPr>
                <w:rStyle w:val="Nessuno"/>
                <w:sz w:val="22"/>
                <w:szCs w:val="22"/>
              </w:rPr>
              <w:t xml:space="preserve">Ineffective implementation capacity: insufficient human, institutional, and technical capacity to design </w:t>
            </w:r>
            <w:r w:rsidR="00E6161B" w:rsidRPr="008E37A0">
              <w:rPr>
                <w:rStyle w:val="Nessuno"/>
                <w:sz w:val="22"/>
                <w:szCs w:val="22"/>
              </w:rPr>
              <w:t>h</w:t>
            </w:r>
            <w:r w:rsidRPr="008E37A0">
              <w:rPr>
                <w:rStyle w:val="Nessuno"/>
                <w:sz w:val="22"/>
                <w:szCs w:val="22"/>
              </w:rPr>
              <w:t xml:space="preserve">ealth policy measures and, once enacted, to carry them out; and limited ability to build consensus and coordinate action across the key </w:t>
            </w:r>
            <w:r w:rsidR="00D36293" w:rsidRPr="008E37A0">
              <w:rPr>
                <w:rStyle w:val="Nessuno"/>
                <w:sz w:val="22"/>
                <w:szCs w:val="22"/>
              </w:rPr>
              <w:t>h</w:t>
            </w:r>
            <w:r w:rsidRPr="008E37A0">
              <w:rPr>
                <w:rStyle w:val="Nessuno"/>
                <w:sz w:val="22"/>
                <w:szCs w:val="22"/>
              </w:rPr>
              <w:t>ealth stakeholders.</w:t>
            </w:r>
          </w:p>
        </w:tc>
        <w:tc>
          <w:tcPr>
            <w:tcW w:w="6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F89C4" w14:textId="77777777" w:rsidR="0002292F" w:rsidRPr="008E37A0" w:rsidRDefault="0002292F" w:rsidP="00D54AF1">
            <w:pPr>
              <w:pStyle w:val="Corpo"/>
              <w:jc w:val="center"/>
              <w:rPr>
                <w:color w:val="000000" w:themeColor="text1"/>
              </w:rPr>
            </w:pPr>
            <w:r w:rsidRPr="008E37A0">
              <w:rPr>
                <w:rStyle w:val="Nessuno"/>
                <w:color w:val="000000" w:themeColor="text1"/>
                <w:sz w:val="22"/>
                <w:szCs w:val="22"/>
                <w:u w:color="FFFFFF"/>
              </w:rPr>
              <w:t>M</w:t>
            </w:r>
          </w:p>
        </w:tc>
        <w:tc>
          <w:tcPr>
            <w:tcW w:w="2326" w:type="pct"/>
            <w:tcBorders>
              <w:top w:val="single" w:sz="4" w:space="0" w:color="000000"/>
              <w:left w:val="single" w:sz="4" w:space="0" w:color="000000"/>
              <w:bottom w:val="single" w:sz="4" w:space="0" w:color="000000"/>
              <w:right w:val="single" w:sz="4" w:space="0" w:color="000000"/>
            </w:tcBorders>
            <w:shd w:val="clear" w:color="auto" w:fill="auto"/>
            <w:tcMar>
              <w:top w:w="80" w:type="dxa"/>
              <w:left w:w="255" w:type="dxa"/>
              <w:bottom w:w="80" w:type="dxa"/>
              <w:right w:w="80" w:type="dxa"/>
            </w:tcMar>
          </w:tcPr>
          <w:p w14:paraId="1664F2BB" w14:textId="2E9DBB80" w:rsidR="0002292F" w:rsidRPr="008E37A0" w:rsidRDefault="00D36293" w:rsidP="00212975">
            <w:pPr>
              <w:pStyle w:val="ListNumber1"/>
              <w:tabs>
                <w:tab w:val="left" w:pos="720"/>
              </w:tabs>
              <w:spacing w:before="0" w:after="0"/>
              <w:jc w:val="left"/>
              <w:rPr>
                <w:lang w:val="en-GB"/>
              </w:rPr>
            </w:pPr>
            <w:r w:rsidRPr="008E37A0">
              <w:rPr>
                <w:rStyle w:val="Nessuno"/>
                <w:sz w:val="22"/>
                <w:szCs w:val="22"/>
                <w:lang w:val="en-GB"/>
              </w:rPr>
              <w:t xml:space="preserve">EUD, </w:t>
            </w:r>
            <w:r w:rsidR="0002292F" w:rsidRPr="008E37A0">
              <w:rPr>
                <w:rStyle w:val="Nessuno"/>
                <w:sz w:val="22"/>
                <w:szCs w:val="22"/>
                <w:lang w:val="en-GB"/>
              </w:rPr>
              <w:t xml:space="preserve">WHO and </w:t>
            </w:r>
            <w:r w:rsidR="005B0BB9" w:rsidRPr="008E37A0">
              <w:rPr>
                <w:rStyle w:val="Nessuno"/>
                <w:sz w:val="22"/>
                <w:szCs w:val="22"/>
                <w:lang w:val="en-GB"/>
              </w:rPr>
              <w:t xml:space="preserve">other international organizations </w:t>
            </w:r>
            <w:r w:rsidR="0002292F" w:rsidRPr="008E37A0">
              <w:rPr>
                <w:rStyle w:val="Nessuno"/>
                <w:sz w:val="22"/>
                <w:szCs w:val="22"/>
                <w:lang w:val="en-GB"/>
              </w:rPr>
              <w:t xml:space="preserve">to strengthen institutional and human resource capacities within the </w:t>
            </w:r>
            <w:r w:rsidRPr="008E37A0">
              <w:rPr>
                <w:sz w:val="22"/>
                <w:szCs w:val="22"/>
                <w:lang w:val="en-GB"/>
              </w:rPr>
              <w:t>MoIDPLHSA</w:t>
            </w:r>
            <w:r w:rsidR="0002292F" w:rsidRPr="008E37A0">
              <w:rPr>
                <w:rStyle w:val="Nessuno"/>
                <w:sz w:val="22"/>
                <w:szCs w:val="22"/>
                <w:lang w:val="en-GB"/>
              </w:rPr>
              <w:t>, strong commitment to DCC mechanism.</w:t>
            </w:r>
          </w:p>
        </w:tc>
      </w:tr>
      <w:tr w:rsidR="0002292F" w:rsidRPr="008E37A0" w14:paraId="0593C252" w14:textId="77777777" w:rsidTr="00212975">
        <w:trPr>
          <w:trHeight w:val="95"/>
        </w:trPr>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AAD06" w14:textId="1E35DF25" w:rsidR="0002292F" w:rsidRPr="008E37A0" w:rsidRDefault="0002292F" w:rsidP="002038AA">
            <w:pPr>
              <w:pStyle w:val="Corpo"/>
              <w:widowControl w:val="0"/>
              <w:rPr>
                <w:sz w:val="22"/>
                <w:szCs w:val="22"/>
              </w:rPr>
            </w:pPr>
            <w:r w:rsidRPr="008E37A0">
              <w:rPr>
                <w:rStyle w:val="Nessuno"/>
                <w:sz w:val="22"/>
                <w:szCs w:val="22"/>
              </w:rPr>
              <w:t xml:space="preserve">Corruption affects the effectiveness of Government and the rule of law and access to </w:t>
            </w:r>
            <w:r w:rsidR="00E6161B" w:rsidRPr="008E37A0">
              <w:rPr>
                <w:rStyle w:val="Nessuno"/>
                <w:sz w:val="22"/>
                <w:szCs w:val="22"/>
              </w:rPr>
              <w:t>h</w:t>
            </w:r>
            <w:r w:rsidRPr="008E37A0">
              <w:rPr>
                <w:rStyle w:val="Nessuno"/>
                <w:sz w:val="22"/>
                <w:szCs w:val="22"/>
              </w:rPr>
              <w:t>ealth services.</w:t>
            </w:r>
          </w:p>
        </w:tc>
        <w:tc>
          <w:tcPr>
            <w:tcW w:w="6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C7B33" w14:textId="77777777" w:rsidR="0002292F" w:rsidRPr="008E37A0" w:rsidRDefault="0002292F" w:rsidP="00D54AF1">
            <w:pPr>
              <w:pStyle w:val="Corpo"/>
              <w:jc w:val="center"/>
              <w:rPr>
                <w:color w:val="000000" w:themeColor="text1"/>
              </w:rPr>
            </w:pPr>
            <w:r w:rsidRPr="008E37A0">
              <w:rPr>
                <w:rStyle w:val="Nessuno"/>
                <w:color w:val="000000" w:themeColor="text1"/>
                <w:sz w:val="22"/>
                <w:szCs w:val="22"/>
                <w:u w:color="FFFFFF"/>
              </w:rPr>
              <w:t>H</w:t>
            </w:r>
          </w:p>
        </w:tc>
        <w:tc>
          <w:tcPr>
            <w:tcW w:w="2326" w:type="pct"/>
            <w:tcBorders>
              <w:top w:val="single" w:sz="4" w:space="0" w:color="000000"/>
              <w:left w:val="single" w:sz="4" w:space="0" w:color="000000"/>
              <w:bottom w:val="single" w:sz="4" w:space="0" w:color="000000"/>
              <w:right w:val="single" w:sz="4" w:space="0" w:color="000000"/>
            </w:tcBorders>
            <w:shd w:val="clear" w:color="auto" w:fill="auto"/>
            <w:tcMar>
              <w:top w:w="80" w:type="dxa"/>
              <w:left w:w="278" w:type="dxa"/>
              <w:bottom w:w="80" w:type="dxa"/>
              <w:right w:w="80" w:type="dxa"/>
            </w:tcMar>
          </w:tcPr>
          <w:p w14:paraId="70FF19F5" w14:textId="2EB195D5" w:rsidR="0002292F" w:rsidRPr="00A12BDE" w:rsidRDefault="0002292F" w:rsidP="00212975">
            <w:pPr>
              <w:pStyle w:val="ListNumber1"/>
              <w:tabs>
                <w:tab w:val="left" w:pos="720"/>
              </w:tabs>
              <w:spacing w:before="0" w:after="0"/>
              <w:jc w:val="left"/>
              <w:rPr>
                <w:lang w:val="en-GB"/>
              </w:rPr>
            </w:pPr>
            <w:r w:rsidRPr="00A12BDE">
              <w:rPr>
                <w:rStyle w:val="Nessuno"/>
                <w:sz w:val="22"/>
                <w:szCs w:val="22"/>
                <w:lang w:val="en-GB"/>
              </w:rPr>
              <w:t>Intensified political dialogue and coordination with EUD political section</w:t>
            </w:r>
            <w:r w:rsidR="00E6161B" w:rsidRPr="00A12BDE">
              <w:rPr>
                <w:rStyle w:val="Nessuno"/>
                <w:sz w:val="22"/>
                <w:szCs w:val="22"/>
                <w:lang w:val="en-GB"/>
              </w:rPr>
              <w:t xml:space="preserve"> and with the </w:t>
            </w:r>
            <w:r w:rsidRPr="00A12BDE">
              <w:rPr>
                <w:rStyle w:val="Nessuno"/>
                <w:sz w:val="22"/>
                <w:szCs w:val="22"/>
                <w:lang w:val="en-GB"/>
              </w:rPr>
              <w:t>Donor Coordination Council</w:t>
            </w:r>
            <w:r w:rsidR="00E6161B" w:rsidRPr="00A12BDE">
              <w:rPr>
                <w:rStyle w:val="Nessuno"/>
                <w:sz w:val="22"/>
                <w:szCs w:val="22"/>
                <w:lang w:val="en-GB"/>
              </w:rPr>
              <w:t xml:space="preserve"> (DCC)</w:t>
            </w:r>
            <w:r w:rsidR="005B0BB9" w:rsidRPr="00A12BDE">
              <w:rPr>
                <w:rStyle w:val="Nessuno"/>
                <w:sz w:val="22"/>
                <w:szCs w:val="22"/>
                <w:lang w:val="en-GB"/>
              </w:rPr>
              <w:t>, strong commitment to PAR.</w:t>
            </w:r>
          </w:p>
        </w:tc>
      </w:tr>
      <w:tr w:rsidR="0002292F" w:rsidRPr="008E37A0" w14:paraId="56A49C76" w14:textId="77777777" w:rsidTr="00212975">
        <w:trPr>
          <w:trHeight w:val="961"/>
        </w:trPr>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27013" w14:textId="77777777" w:rsidR="0002292F" w:rsidRPr="008E37A0" w:rsidRDefault="0002292F" w:rsidP="002038AA">
            <w:pPr>
              <w:pStyle w:val="Corpo"/>
              <w:widowControl w:val="0"/>
              <w:rPr>
                <w:sz w:val="22"/>
                <w:szCs w:val="22"/>
              </w:rPr>
            </w:pPr>
            <w:r w:rsidRPr="008E37A0">
              <w:rPr>
                <w:rStyle w:val="Nessuno"/>
                <w:sz w:val="22"/>
                <w:szCs w:val="22"/>
              </w:rPr>
              <w:t>Access to quality basic social services continues to be problematic and has implications for both poverty and public health.</w:t>
            </w:r>
          </w:p>
        </w:tc>
        <w:tc>
          <w:tcPr>
            <w:tcW w:w="6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249CA" w14:textId="77777777" w:rsidR="0002292F" w:rsidRPr="008E37A0" w:rsidRDefault="0002292F" w:rsidP="00D54AF1">
            <w:pPr>
              <w:pStyle w:val="Corpo"/>
              <w:jc w:val="center"/>
              <w:rPr>
                <w:color w:val="000000" w:themeColor="text1"/>
              </w:rPr>
            </w:pPr>
            <w:r w:rsidRPr="008E37A0">
              <w:rPr>
                <w:rStyle w:val="Nessuno"/>
                <w:color w:val="000000" w:themeColor="text1"/>
                <w:sz w:val="22"/>
                <w:szCs w:val="22"/>
                <w:u w:color="FFFFFF"/>
              </w:rPr>
              <w:t>M</w:t>
            </w:r>
          </w:p>
        </w:tc>
        <w:tc>
          <w:tcPr>
            <w:tcW w:w="2326" w:type="pct"/>
            <w:tcBorders>
              <w:top w:val="single" w:sz="4" w:space="0" w:color="000000"/>
              <w:left w:val="single" w:sz="4" w:space="0" w:color="000000"/>
              <w:bottom w:val="single" w:sz="4" w:space="0" w:color="000000"/>
              <w:right w:val="single" w:sz="4" w:space="0" w:color="000000"/>
            </w:tcBorders>
            <w:shd w:val="clear" w:color="auto" w:fill="auto"/>
            <w:tcMar>
              <w:top w:w="80" w:type="dxa"/>
              <w:left w:w="255" w:type="dxa"/>
              <w:bottom w:w="80" w:type="dxa"/>
              <w:right w:w="80" w:type="dxa"/>
            </w:tcMar>
          </w:tcPr>
          <w:p w14:paraId="7035AFC2" w14:textId="56E5B204" w:rsidR="0002292F" w:rsidRPr="008E37A0" w:rsidRDefault="00854544" w:rsidP="00212975">
            <w:pPr>
              <w:pStyle w:val="ListNumber1"/>
              <w:tabs>
                <w:tab w:val="left" w:pos="720"/>
              </w:tabs>
              <w:spacing w:before="0" w:after="0"/>
              <w:jc w:val="left"/>
              <w:rPr>
                <w:lang w:val="en-GB"/>
              </w:rPr>
            </w:pPr>
            <w:r w:rsidRPr="008E37A0">
              <w:rPr>
                <w:rStyle w:val="Nessuno"/>
                <w:sz w:val="22"/>
                <w:szCs w:val="22"/>
                <w:lang w:val="en-GB"/>
              </w:rPr>
              <w:t xml:space="preserve">Continued political and policy dialogue with the Government including on corruption. Agree on achievable and realistic targets </w:t>
            </w:r>
            <w:r w:rsidR="009B13A4" w:rsidRPr="008E37A0">
              <w:rPr>
                <w:rStyle w:val="Nessuno"/>
                <w:sz w:val="22"/>
                <w:szCs w:val="22"/>
                <w:lang w:val="en-GB"/>
              </w:rPr>
              <w:t xml:space="preserve">for the health </w:t>
            </w:r>
            <w:r w:rsidRPr="008E37A0">
              <w:rPr>
                <w:rStyle w:val="Nessuno"/>
                <w:sz w:val="22"/>
                <w:szCs w:val="22"/>
                <w:lang w:val="en-GB"/>
              </w:rPr>
              <w:t>sector</w:t>
            </w:r>
            <w:r w:rsidR="009B13A4" w:rsidRPr="008E37A0">
              <w:rPr>
                <w:rStyle w:val="Nessuno"/>
                <w:sz w:val="22"/>
                <w:szCs w:val="22"/>
                <w:lang w:val="en-GB"/>
              </w:rPr>
              <w:t xml:space="preserve"> budget</w:t>
            </w:r>
            <w:r w:rsidR="005B0BB9" w:rsidRPr="008E37A0">
              <w:rPr>
                <w:rStyle w:val="Nessuno"/>
                <w:sz w:val="22"/>
                <w:szCs w:val="22"/>
                <w:lang w:val="en-GB"/>
              </w:rPr>
              <w:t xml:space="preserve"> with MoF</w:t>
            </w:r>
            <w:r w:rsidRPr="008E37A0">
              <w:rPr>
                <w:rStyle w:val="Nessuno"/>
                <w:sz w:val="22"/>
                <w:szCs w:val="22"/>
                <w:lang w:val="en-GB"/>
              </w:rPr>
              <w:t>.</w:t>
            </w:r>
          </w:p>
        </w:tc>
      </w:tr>
      <w:tr w:rsidR="0002292F" w:rsidRPr="008E37A0" w14:paraId="726937F0" w14:textId="77777777" w:rsidTr="00212975">
        <w:trPr>
          <w:trHeight w:val="24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255" w:type="dxa"/>
              <w:bottom w:w="80" w:type="dxa"/>
              <w:right w:w="80" w:type="dxa"/>
            </w:tcMar>
          </w:tcPr>
          <w:p w14:paraId="041345CB" w14:textId="77777777" w:rsidR="0002292F" w:rsidRPr="008E37A0" w:rsidRDefault="0002292F" w:rsidP="00D54AF1">
            <w:pPr>
              <w:pStyle w:val="ListNumber1"/>
              <w:tabs>
                <w:tab w:val="left" w:pos="720"/>
              </w:tabs>
              <w:spacing w:before="0" w:after="0"/>
              <w:ind w:left="175"/>
              <w:rPr>
                <w:lang w:val="en-GB"/>
              </w:rPr>
            </w:pPr>
            <w:r w:rsidRPr="008E37A0">
              <w:rPr>
                <w:rStyle w:val="Nessuno"/>
                <w:b/>
                <w:bCs/>
                <w:sz w:val="22"/>
                <w:szCs w:val="22"/>
                <w:lang w:val="en-GB"/>
              </w:rPr>
              <w:t>Assumptions:</w:t>
            </w:r>
          </w:p>
        </w:tc>
      </w:tr>
      <w:tr w:rsidR="0002292F" w:rsidRPr="008E37A0" w14:paraId="6C56B16A" w14:textId="77777777" w:rsidTr="00212975">
        <w:trPr>
          <w:trHeight w:val="898"/>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3DF0F" w14:textId="3537C12F" w:rsidR="0002292F" w:rsidRPr="008E37A0" w:rsidRDefault="0002292F" w:rsidP="00B76ECC">
            <w:pPr>
              <w:pStyle w:val="Corpo"/>
              <w:numPr>
                <w:ilvl w:val="0"/>
                <w:numId w:val="10"/>
              </w:numPr>
            </w:pPr>
            <w:r w:rsidRPr="008E37A0">
              <w:rPr>
                <w:rStyle w:val="Nessuno"/>
                <w:sz w:val="22"/>
                <w:szCs w:val="22"/>
              </w:rPr>
              <w:t>The Government</w:t>
            </w:r>
            <w:r w:rsidR="002038AA" w:rsidRPr="008E37A0">
              <w:rPr>
                <w:rStyle w:val="Nessuno"/>
                <w:sz w:val="22"/>
                <w:szCs w:val="22"/>
              </w:rPr>
              <w:t xml:space="preserve"> of Georgia</w:t>
            </w:r>
            <w:r w:rsidRPr="008E37A0">
              <w:rPr>
                <w:rStyle w:val="Nessuno"/>
                <w:sz w:val="22"/>
                <w:szCs w:val="22"/>
              </w:rPr>
              <w:t xml:space="preserve">, the European Union, and Development Partners continue to support </w:t>
            </w:r>
            <w:r w:rsidR="002038AA" w:rsidRPr="008E37A0">
              <w:rPr>
                <w:rStyle w:val="Nessuno"/>
                <w:sz w:val="22"/>
                <w:szCs w:val="22"/>
              </w:rPr>
              <w:t>the health system strengthening</w:t>
            </w:r>
            <w:r w:rsidRPr="008E37A0">
              <w:rPr>
                <w:rStyle w:val="Nessuno"/>
                <w:sz w:val="22"/>
                <w:szCs w:val="22"/>
              </w:rPr>
              <w:t>;</w:t>
            </w:r>
          </w:p>
          <w:p w14:paraId="48E11971" w14:textId="6E85C522" w:rsidR="0002292F" w:rsidRPr="008E37A0" w:rsidRDefault="0002292F" w:rsidP="000F157B">
            <w:pPr>
              <w:pStyle w:val="Corpo"/>
              <w:numPr>
                <w:ilvl w:val="0"/>
                <w:numId w:val="10"/>
              </w:numPr>
              <w:jc w:val="both"/>
              <w:rPr>
                <w:rStyle w:val="Nessuno"/>
              </w:rPr>
            </w:pPr>
            <w:r w:rsidRPr="008E37A0">
              <w:rPr>
                <w:rStyle w:val="Nessuno"/>
                <w:sz w:val="22"/>
                <w:szCs w:val="22"/>
              </w:rPr>
              <w:t xml:space="preserve">The macro-economic situation in the country </w:t>
            </w:r>
            <w:r w:rsidR="00D73EBF" w:rsidRPr="008E37A0">
              <w:rPr>
                <w:rStyle w:val="Nessuno"/>
                <w:sz w:val="22"/>
                <w:szCs w:val="22"/>
              </w:rPr>
              <w:t>stabilizes</w:t>
            </w:r>
            <w:r w:rsidRPr="008E37A0">
              <w:rPr>
                <w:rStyle w:val="Nessuno"/>
                <w:sz w:val="22"/>
                <w:szCs w:val="22"/>
              </w:rPr>
              <w:t xml:space="preserve"> and the forecasts contained in the </w:t>
            </w:r>
            <w:r w:rsidR="002038AA" w:rsidRPr="008E37A0">
              <w:rPr>
                <w:sz w:val="22"/>
                <w:szCs w:val="22"/>
              </w:rPr>
              <w:t xml:space="preserve">Social-economic Development Strategy of Georgia </w:t>
            </w:r>
            <w:r w:rsidRPr="008E37A0">
              <w:rPr>
                <w:rStyle w:val="Nessuno"/>
                <w:sz w:val="22"/>
                <w:szCs w:val="22"/>
              </w:rPr>
              <w:t>are realistic;</w:t>
            </w:r>
          </w:p>
          <w:p w14:paraId="6F38AD21" w14:textId="08BF91F7" w:rsidR="0002292F" w:rsidRPr="008E37A0" w:rsidRDefault="0023175B" w:rsidP="00B76ECC">
            <w:pPr>
              <w:pStyle w:val="Corpo"/>
              <w:numPr>
                <w:ilvl w:val="0"/>
                <w:numId w:val="12"/>
              </w:numPr>
              <w:jc w:val="both"/>
              <w:rPr>
                <w:sz w:val="22"/>
                <w:szCs w:val="22"/>
              </w:rPr>
            </w:pPr>
            <w:r w:rsidRPr="008E37A0">
              <w:rPr>
                <w:rStyle w:val="Nessuno"/>
                <w:sz w:val="22"/>
                <w:szCs w:val="22"/>
              </w:rPr>
              <w:t>T</w:t>
            </w:r>
            <w:r w:rsidRPr="008E37A0">
              <w:rPr>
                <w:rStyle w:val="Nessuno"/>
              </w:rPr>
              <w:t xml:space="preserve">he </w:t>
            </w:r>
            <w:r w:rsidR="0002292F" w:rsidRPr="008E37A0">
              <w:rPr>
                <w:rStyle w:val="Nessuno"/>
                <w:sz w:val="22"/>
                <w:szCs w:val="22"/>
              </w:rPr>
              <w:t xml:space="preserve">Government spending will sufficiently increase to allow </w:t>
            </w:r>
            <w:r w:rsidR="00F12A3C" w:rsidRPr="008E37A0">
              <w:rPr>
                <w:rStyle w:val="Nessuno"/>
                <w:sz w:val="22"/>
                <w:szCs w:val="22"/>
              </w:rPr>
              <w:t xml:space="preserve">for expansion of population covered by the </w:t>
            </w:r>
            <w:r w:rsidR="002038AA" w:rsidRPr="008E37A0">
              <w:rPr>
                <w:rStyle w:val="Nessuno"/>
                <w:sz w:val="22"/>
                <w:szCs w:val="22"/>
              </w:rPr>
              <w:t>universal health care programme</w:t>
            </w:r>
            <w:r w:rsidR="00F12A3C" w:rsidRPr="008E37A0">
              <w:rPr>
                <w:rStyle w:val="Nessuno"/>
                <w:sz w:val="22"/>
                <w:szCs w:val="22"/>
              </w:rPr>
              <w:t xml:space="preserve">, gradual substitution of external funding </w:t>
            </w:r>
            <w:r w:rsidR="002038AA" w:rsidRPr="008E37A0">
              <w:rPr>
                <w:rStyle w:val="Nessuno"/>
                <w:sz w:val="22"/>
                <w:szCs w:val="22"/>
              </w:rPr>
              <w:t xml:space="preserve">by </w:t>
            </w:r>
            <w:r w:rsidR="00F12A3C" w:rsidRPr="008E37A0">
              <w:rPr>
                <w:rStyle w:val="Nessuno"/>
                <w:sz w:val="22"/>
                <w:szCs w:val="22"/>
              </w:rPr>
              <w:t xml:space="preserve">domestic resources, </w:t>
            </w:r>
            <w:r w:rsidR="0002292F" w:rsidRPr="008E37A0">
              <w:rPr>
                <w:rStyle w:val="Nessuno"/>
                <w:sz w:val="22"/>
                <w:szCs w:val="22"/>
              </w:rPr>
              <w:t>and</w:t>
            </w:r>
            <w:r w:rsidR="00F12A3C" w:rsidRPr="008E37A0">
              <w:rPr>
                <w:rStyle w:val="Nessuno"/>
                <w:sz w:val="22"/>
                <w:szCs w:val="22"/>
              </w:rPr>
              <w:t xml:space="preserve"> </w:t>
            </w:r>
            <w:r w:rsidR="0002292F" w:rsidRPr="008E37A0">
              <w:rPr>
                <w:rStyle w:val="Nessuno"/>
                <w:sz w:val="22"/>
                <w:szCs w:val="22"/>
              </w:rPr>
              <w:t>increase</w:t>
            </w:r>
            <w:r w:rsidR="00F12A3C" w:rsidRPr="008E37A0">
              <w:rPr>
                <w:rStyle w:val="Nessuno"/>
                <w:sz w:val="22"/>
                <w:szCs w:val="22"/>
              </w:rPr>
              <w:t xml:space="preserve">d capital </w:t>
            </w:r>
            <w:r w:rsidR="0002292F" w:rsidRPr="008E37A0">
              <w:rPr>
                <w:rStyle w:val="Nessuno"/>
                <w:sz w:val="22"/>
                <w:szCs w:val="22"/>
              </w:rPr>
              <w:t xml:space="preserve"> investment</w:t>
            </w:r>
            <w:r w:rsidR="00F12A3C" w:rsidRPr="008E37A0">
              <w:rPr>
                <w:rStyle w:val="Nessuno"/>
                <w:sz w:val="22"/>
                <w:szCs w:val="22"/>
              </w:rPr>
              <w:t>s</w:t>
            </w:r>
            <w:r w:rsidR="0002292F" w:rsidRPr="008E37A0">
              <w:rPr>
                <w:rStyle w:val="Nessuno"/>
                <w:sz w:val="22"/>
                <w:szCs w:val="22"/>
              </w:rPr>
              <w:t xml:space="preserve"> in the </w:t>
            </w:r>
            <w:r w:rsidR="00F12A3C" w:rsidRPr="008E37A0">
              <w:rPr>
                <w:rStyle w:val="Nessuno"/>
                <w:sz w:val="22"/>
                <w:szCs w:val="22"/>
              </w:rPr>
              <w:t>h</w:t>
            </w:r>
            <w:r w:rsidR="0002292F" w:rsidRPr="008E37A0">
              <w:rPr>
                <w:rStyle w:val="Nessuno"/>
                <w:sz w:val="22"/>
                <w:szCs w:val="22"/>
              </w:rPr>
              <w:t>ealth sector.</w:t>
            </w:r>
          </w:p>
        </w:tc>
      </w:tr>
    </w:tbl>
    <w:p w14:paraId="54E11509" w14:textId="77777777" w:rsidR="00AE21A5" w:rsidRPr="008E37A0" w:rsidRDefault="00AE21A5" w:rsidP="00D54AF1">
      <w:pPr>
        <w:pStyle w:val="Text1"/>
        <w:ind w:left="0"/>
        <w:rPr>
          <w:lang w:val="en-GB"/>
        </w:rPr>
      </w:pPr>
    </w:p>
    <w:p w14:paraId="59F0D8E7" w14:textId="575A063C" w:rsidR="00AE21A5" w:rsidRPr="008E37A0" w:rsidRDefault="00DF7D72" w:rsidP="00B76ECC">
      <w:pPr>
        <w:pStyle w:val="Intestazione"/>
        <w:numPr>
          <w:ilvl w:val="0"/>
          <w:numId w:val="13"/>
        </w:numPr>
        <w:spacing w:before="0"/>
        <w:rPr>
          <w:rStyle w:val="Nessuno"/>
        </w:rPr>
      </w:pPr>
      <w:r w:rsidRPr="008E37A0">
        <w:rPr>
          <w:rStyle w:val="Nessuno"/>
        </w:rPr>
        <w:t>complementarity</w:t>
      </w:r>
      <w:r w:rsidR="000315C6" w:rsidRPr="008E37A0">
        <w:rPr>
          <w:rStyle w:val="Nessuno"/>
        </w:rPr>
        <w:t>, synergy and donor coordination</w:t>
      </w:r>
    </w:p>
    <w:p w14:paraId="4F927216" w14:textId="122C7725" w:rsidR="00AE21A5" w:rsidRPr="008E37A0" w:rsidRDefault="00DF7D72" w:rsidP="00D54AF1">
      <w:pPr>
        <w:pStyle w:val="Corpo"/>
        <w:spacing w:before="100" w:after="120"/>
        <w:jc w:val="both"/>
        <w:rPr>
          <w:rStyle w:val="Nessuno"/>
          <w:sz w:val="22"/>
          <w:szCs w:val="22"/>
        </w:rPr>
      </w:pPr>
      <w:r w:rsidRPr="00A12BDE">
        <w:rPr>
          <w:rStyle w:val="Nessuno"/>
          <w:sz w:val="22"/>
          <w:szCs w:val="22"/>
        </w:rPr>
        <w:t xml:space="preserve">Under the proposed </w:t>
      </w:r>
      <w:r w:rsidR="003425B8">
        <w:rPr>
          <w:rStyle w:val="Nessuno"/>
          <w:sz w:val="22"/>
          <w:szCs w:val="22"/>
        </w:rPr>
        <w:t>action</w:t>
      </w:r>
      <w:r w:rsidRPr="00A12BDE">
        <w:rPr>
          <w:rStyle w:val="Nessuno"/>
          <w:sz w:val="22"/>
          <w:szCs w:val="22"/>
        </w:rPr>
        <w:t xml:space="preserve">, the EU Commission - through the EU Delegation </w:t>
      </w:r>
      <w:r w:rsidR="00996CFC" w:rsidRPr="00A12BDE">
        <w:rPr>
          <w:rStyle w:val="Nessuno"/>
          <w:sz w:val="22"/>
          <w:szCs w:val="22"/>
        </w:rPr>
        <w:t xml:space="preserve">to Georgia </w:t>
      </w:r>
      <w:r w:rsidRPr="00A12BDE">
        <w:rPr>
          <w:rStyle w:val="Nessuno"/>
          <w:sz w:val="22"/>
          <w:szCs w:val="22"/>
        </w:rPr>
        <w:t xml:space="preserve">- will prioritize health systems strengthening (HSS) as the overarching framework to achieve overall objectives relative to </w:t>
      </w:r>
      <w:r w:rsidR="00996CFC" w:rsidRPr="00A12BDE">
        <w:rPr>
          <w:rStyle w:val="Nessuno"/>
          <w:sz w:val="22"/>
          <w:szCs w:val="22"/>
        </w:rPr>
        <w:t>the functions of health system</w:t>
      </w:r>
      <w:r w:rsidRPr="00A12BDE">
        <w:rPr>
          <w:rStyle w:val="Nessuno"/>
          <w:sz w:val="22"/>
          <w:szCs w:val="22"/>
        </w:rPr>
        <w:t xml:space="preserve">. The </w:t>
      </w:r>
      <w:r w:rsidR="003425B8">
        <w:rPr>
          <w:rStyle w:val="Nessuno"/>
          <w:sz w:val="22"/>
          <w:szCs w:val="22"/>
        </w:rPr>
        <w:t>action</w:t>
      </w:r>
      <w:r w:rsidRPr="00A12BDE">
        <w:rPr>
          <w:rStyle w:val="Nessuno"/>
          <w:sz w:val="22"/>
          <w:szCs w:val="22"/>
        </w:rPr>
        <w:t xml:space="preserve"> is in line with the proposal of EU's new Multiannual Financial Framework (MFF) 2021 – 2027, where European bilateral health programmes should focus on strengthening national health systems towards universal health coverage.</w:t>
      </w:r>
      <w:r w:rsidRPr="008E37A0">
        <w:rPr>
          <w:rStyle w:val="Nessuno"/>
          <w:sz w:val="22"/>
          <w:szCs w:val="22"/>
        </w:rPr>
        <w:t xml:space="preserve"> </w:t>
      </w:r>
    </w:p>
    <w:p w14:paraId="372511C0" w14:textId="2DFFC7BF" w:rsidR="00C710A1" w:rsidRPr="008E37A0" w:rsidRDefault="00DF7D72" w:rsidP="00917A7B">
      <w:pPr>
        <w:pStyle w:val="Corpo"/>
        <w:spacing w:after="120"/>
        <w:jc w:val="both"/>
        <w:rPr>
          <w:rStyle w:val="Nessuno"/>
          <w:sz w:val="22"/>
          <w:szCs w:val="22"/>
        </w:rPr>
      </w:pPr>
      <w:r w:rsidRPr="00A12BDE">
        <w:rPr>
          <w:rStyle w:val="Nessuno"/>
          <w:sz w:val="22"/>
          <w:szCs w:val="22"/>
        </w:rPr>
        <w:t xml:space="preserve">Several Global Health Initiatives (GHIs) are currently active in </w:t>
      </w:r>
      <w:r w:rsidR="00996CFC" w:rsidRPr="00A12BDE">
        <w:rPr>
          <w:rStyle w:val="Nessuno"/>
          <w:sz w:val="22"/>
          <w:szCs w:val="22"/>
        </w:rPr>
        <w:t>Georgia</w:t>
      </w:r>
      <w:r w:rsidRPr="00A12BDE">
        <w:rPr>
          <w:rStyle w:val="Nessuno"/>
          <w:sz w:val="22"/>
          <w:szCs w:val="22"/>
        </w:rPr>
        <w:t xml:space="preserve"> such as the Global Fund </w:t>
      </w:r>
      <w:r w:rsidR="00C710A1" w:rsidRPr="00A12BDE">
        <w:rPr>
          <w:rStyle w:val="Nessuno"/>
          <w:sz w:val="22"/>
          <w:szCs w:val="22"/>
        </w:rPr>
        <w:t>to Fight A</w:t>
      </w:r>
      <w:r w:rsidRPr="00A12BDE">
        <w:rPr>
          <w:rStyle w:val="Nessuno"/>
          <w:sz w:val="22"/>
          <w:szCs w:val="22"/>
        </w:rPr>
        <w:t>ids, Tuberculosis and Malaria (GFATM)</w:t>
      </w:r>
      <w:r w:rsidR="00F4398C" w:rsidRPr="00A12BDE">
        <w:rPr>
          <w:rStyle w:val="Nessuno"/>
          <w:sz w:val="22"/>
          <w:szCs w:val="22"/>
        </w:rPr>
        <w:t xml:space="preserve"> and </w:t>
      </w:r>
      <w:r w:rsidRPr="00A12BDE">
        <w:rPr>
          <w:rStyle w:val="Nessuno"/>
          <w:sz w:val="22"/>
          <w:szCs w:val="22"/>
        </w:rPr>
        <w:t>th</w:t>
      </w:r>
      <w:r w:rsidR="002755DA" w:rsidRPr="00A12BDE">
        <w:rPr>
          <w:rStyle w:val="Nessuno"/>
          <w:sz w:val="22"/>
          <w:szCs w:val="22"/>
        </w:rPr>
        <w:t>e</w:t>
      </w:r>
      <w:r w:rsidRPr="00A12BDE">
        <w:rPr>
          <w:rStyle w:val="Nessuno"/>
          <w:sz w:val="22"/>
          <w:szCs w:val="22"/>
        </w:rPr>
        <w:t xml:space="preserve"> UHC Partnership implemented by WHO.</w:t>
      </w:r>
      <w:r w:rsidRPr="008E37A0">
        <w:rPr>
          <w:rStyle w:val="Nessuno"/>
          <w:sz w:val="22"/>
          <w:szCs w:val="22"/>
        </w:rPr>
        <w:t xml:space="preserve"> </w:t>
      </w:r>
    </w:p>
    <w:p w14:paraId="0D48EE4C" w14:textId="28DCFCB1" w:rsidR="00C710A1" w:rsidRPr="008E37A0" w:rsidRDefault="00C710A1" w:rsidP="00C710A1">
      <w:pPr>
        <w:pStyle w:val="Corpo"/>
        <w:spacing w:after="120"/>
        <w:jc w:val="both"/>
        <w:rPr>
          <w:sz w:val="22"/>
          <w:szCs w:val="22"/>
        </w:rPr>
      </w:pPr>
      <w:r w:rsidRPr="008E37A0">
        <w:rPr>
          <w:sz w:val="22"/>
          <w:szCs w:val="22"/>
        </w:rPr>
        <w:t>Under the universal health care program</w:t>
      </w:r>
      <w:r w:rsidR="0026089B" w:rsidRPr="008E37A0">
        <w:rPr>
          <w:sz w:val="22"/>
          <w:szCs w:val="22"/>
        </w:rPr>
        <w:t>me</w:t>
      </w:r>
      <w:r w:rsidRPr="008E37A0">
        <w:rPr>
          <w:sz w:val="22"/>
          <w:szCs w:val="22"/>
        </w:rPr>
        <w:t xml:space="preserve"> the </w:t>
      </w:r>
      <w:r w:rsidR="0026089B" w:rsidRPr="008E37A0">
        <w:rPr>
          <w:sz w:val="22"/>
          <w:szCs w:val="22"/>
        </w:rPr>
        <w:t>G</w:t>
      </w:r>
      <w:r w:rsidRPr="008E37A0">
        <w:rPr>
          <w:sz w:val="22"/>
          <w:szCs w:val="22"/>
        </w:rPr>
        <w:t xml:space="preserve">overnment continues to reach more people with treatment for HIV, TB and other diseases. As a result, AIDS-related deaths have gone down in recent years, and there has been a decline in the number of new cases of TB. Global Fund support helps maintain and expand Georgia’s implementation of effective HIV prevention, and improve treatment and </w:t>
      </w:r>
      <w:r w:rsidRPr="008E37A0">
        <w:rPr>
          <w:sz w:val="22"/>
          <w:szCs w:val="22"/>
        </w:rPr>
        <w:lastRenderedPageBreak/>
        <w:t>care. Grants continue to sustain universal access to quality TB diagnosis and treatment, including multidrug-resistant TB</w:t>
      </w:r>
      <w:r w:rsidRPr="008E37A0">
        <w:rPr>
          <w:rStyle w:val="Lbjegyzet-hivatkozs"/>
          <w:sz w:val="22"/>
          <w:szCs w:val="22"/>
        </w:rPr>
        <w:footnoteReference w:id="20"/>
      </w:r>
      <w:r w:rsidRPr="008E37A0">
        <w:rPr>
          <w:sz w:val="22"/>
          <w:szCs w:val="22"/>
        </w:rPr>
        <w:t>.</w:t>
      </w:r>
    </w:p>
    <w:p w14:paraId="585838E1" w14:textId="4B8B072C" w:rsidR="00C710A1" w:rsidRPr="008E37A0" w:rsidRDefault="00C710A1" w:rsidP="00C710A1">
      <w:pPr>
        <w:pStyle w:val="Corpo"/>
        <w:spacing w:after="120"/>
        <w:jc w:val="both"/>
        <w:rPr>
          <w:sz w:val="22"/>
          <w:szCs w:val="22"/>
        </w:rPr>
      </w:pPr>
      <w:r w:rsidRPr="008E37A0">
        <w:rPr>
          <w:sz w:val="22"/>
          <w:szCs w:val="22"/>
        </w:rPr>
        <w:t>The UHC Partnership is a collaboration between WHO, the European Union and Luxemburg to support policy dialogue on national health policies, strategies and plans for UHC. The Partnership enabled the WHO Regional Office for Europe to scale up support to the Government of Georgia as it seeks to achieve UHC, focusing on strategic purchasing</w:t>
      </w:r>
      <w:r w:rsidRPr="008E37A0">
        <w:rPr>
          <w:rStyle w:val="Lbjegyzet-hivatkozs"/>
          <w:sz w:val="22"/>
          <w:szCs w:val="22"/>
        </w:rPr>
        <w:footnoteReference w:id="21"/>
      </w:r>
      <w:r w:rsidRPr="008E37A0">
        <w:rPr>
          <w:sz w:val="22"/>
          <w:szCs w:val="22"/>
        </w:rPr>
        <w:t>.</w:t>
      </w:r>
    </w:p>
    <w:p w14:paraId="5F430443" w14:textId="535EEAD0" w:rsidR="00C23FCA" w:rsidRPr="008E37A0" w:rsidRDefault="00E67DBA" w:rsidP="00C23FCA">
      <w:pPr>
        <w:pStyle w:val="Corpo"/>
        <w:spacing w:after="120"/>
        <w:jc w:val="both"/>
        <w:rPr>
          <w:sz w:val="22"/>
          <w:szCs w:val="22"/>
        </w:rPr>
      </w:pPr>
      <w:r w:rsidRPr="008E37A0">
        <w:rPr>
          <w:rStyle w:val="Nessuno"/>
          <w:sz w:val="22"/>
          <w:szCs w:val="22"/>
        </w:rPr>
        <w:t>There will be complementary, synergy</w:t>
      </w:r>
      <w:r w:rsidR="00F50118" w:rsidRPr="008E37A0">
        <w:rPr>
          <w:rStyle w:val="Nessuno"/>
          <w:sz w:val="22"/>
          <w:szCs w:val="22"/>
        </w:rPr>
        <w:t>, visibility</w:t>
      </w:r>
      <w:r w:rsidRPr="008E37A0">
        <w:rPr>
          <w:rStyle w:val="Nessuno"/>
          <w:sz w:val="22"/>
          <w:szCs w:val="22"/>
        </w:rPr>
        <w:t xml:space="preserve"> and coordination in place </w:t>
      </w:r>
      <w:r w:rsidR="00F4398C" w:rsidRPr="008E37A0">
        <w:rPr>
          <w:rStyle w:val="Nessuno"/>
          <w:sz w:val="22"/>
          <w:szCs w:val="22"/>
        </w:rPr>
        <w:t>with other donor</w:t>
      </w:r>
      <w:r w:rsidRPr="008E37A0">
        <w:rPr>
          <w:rStyle w:val="Nessuno"/>
          <w:sz w:val="22"/>
          <w:szCs w:val="22"/>
        </w:rPr>
        <w:t xml:space="preserve"> funded programmes and actions. In addition, </w:t>
      </w:r>
      <w:r w:rsidR="00C23FCA" w:rsidRPr="008E37A0">
        <w:rPr>
          <w:rStyle w:val="Nessuno"/>
          <w:sz w:val="22"/>
          <w:szCs w:val="22"/>
        </w:rPr>
        <w:t xml:space="preserve">during </w:t>
      </w:r>
      <w:r w:rsidRPr="008E37A0">
        <w:rPr>
          <w:rStyle w:val="Nessuno"/>
          <w:sz w:val="22"/>
          <w:szCs w:val="22"/>
        </w:rPr>
        <w:t xml:space="preserve">the </w:t>
      </w:r>
      <w:r w:rsidR="00C23FCA" w:rsidRPr="008E37A0">
        <w:rPr>
          <w:rStyle w:val="Nessuno"/>
          <w:sz w:val="22"/>
          <w:szCs w:val="22"/>
        </w:rPr>
        <w:t>implementation of the programme mainstreaming issues, such as human rights, gender equality and women’s and girl’s empowerment</w:t>
      </w:r>
      <w:r w:rsidR="000315C6" w:rsidRPr="008E37A0">
        <w:rPr>
          <w:rStyle w:val="Nessuno"/>
          <w:sz w:val="22"/>
          <w:szCs w:val="22"/>
        </w:rPr>
        <w:t>,</w:t>
      </w:r>
      <w:r w:rsidR="00C23FCA" w:rsidRPr="008E37A0">
        <w:rPr>
          <w:sz w:val="22"/>
          <w:szCs w:val="22"/>
        </w:rPr>
        <w:t xml:space="preserve"> environment and climate change</w:t>
      </w:r>
      <w:r w:rsidRPr="008E37A0">
        <w:rPr>
          <w:sz w:val="22"/>
          <w:szCs w:val="22"/>
        </w:rPr>
        <w:t xml:space="preserve"> </w:t>
      </w:r>
      <w:r w:rsidR="00C23FCA" w:rsidRPr="008E37A0">
        <w:rPr>
          <w:sz w:val="22"/>
          <w:szCs w:val="22"/>
        </w:rPr>
        <w:t xml:space="preserve">will be </w:t>
      </w:r>
      <w:r w:rsidRPr="008E37A0">
        <w:rPr>
          <w:sz w:val="22"/>
          <w:szCs w:val="22"/>
        </w:rPr>
        <w:t>consider</w:t>
      </w:r>
      <w:r w:rsidR="00C23FCA" w:rsidRPr="008E37A0">
        <w:rPr>
          <w:sz w:val="22"/>
          <w:szCs w:val="22"/>
        </w:rPr>
        <w:t xml:space="preserve">ed. </w:t>
      </w:r>
    </w:p>
    <w:p w14:paraId="52945EE9" w14:textId="0DAB404C" w:rsidR="00AE21A5" w:rsidRPr="008E37A0" w:rsidRDefault="00DF7D72" w:rsidP="00B76ECC">
      <w:pPr>
        <w:pStyle w:val="Intestazione"/>
        <w:numPr>
          <w:ilvl w:val="0"/>
          <w:numId w:val="16"/>
        </w:numPr>
        <w:rPr>
          <w:rStyle w:val="Nessuno"/>
        </w:rPr>
      </w:pPr>
      <w:r w:rsidRPr="008E37A0">
        <w:rPr>
          <w:rStyle w:val="Nessuno"/>
          <w:rFonts w:eastAsia="Arial Unicode MS"/>
        </w:rPr>
        <w:t>Description of the action</w:t>
      </w:r>
    </w:p>
    <w:p w14:paraId="210A0490" w14:textId="77777777" w:rsidR="00AE21A5" w:rsidRPr="008E37A0" w:rsidRDefault="00A400C9" w:rsidP="00D54AF1">
      <w:pPr>
        <w:pStyle w:val="Intestazione2"/>
        <w:rPr>
          <w:lang w:val="en-GB"/>
        </w:rPr>
      </w:pPr>
      <w:r w:rsidRPr="008E37A0">
        <w:rPr>
          <w:lang w:val="en-GB"/>
        </w:rPr>
        <w:t>4.1</w:t>
      </w:r>
      <w:r w:rsidRPr="008E37A0">
        <w:rPr>
          <w:lang w:val="en-GB"/>
        </w:rPr>
        <w:tab/>
      </w:r>
      <w:r w:rsidRPr="008E37A0">
        <w:rPr>
          <w:lang w:val="en-GB"/>
        </w:rPr>
        <w:tab/>
      </w:r>
      <w:r w:rsidR="00DF7D72" w:rsidRPr="008E37A0">
        <w:rPr>
          <w:lang w:val="en-GB"/>
        </w:rPr>
        <w:t>Overall objective, specific objective(s), expected outputs and indicative activities</w:t>
      </w:r>
    </w:p>
    <w:tbl>
      <w:tblPr>
        <w:tblStyle w:val="Rcsostblzat"/>
        <w:tblW w:w="5000" w:type="pct"/>
        <w:tblLook w:val="04A0" w:firstRow="1" w:lastRow="0" w:firstColumn="1" w:lastColumn="0" w:noHBand="0" w:noVBand="1"/>
      </w:tblPr>
      <w:tblGrid>
        <w:gridCol w:w="1626"/>
        <w:gridCol w:w="6169"/>
        <w:gridCol w:w="1261"/>
      </w:tblGrid>
      <w:tr w:rsidR="0076070A" w:rsidRPr="008E37A0" w14:paraId="336595D6" w14:textId="77777777" w:rsidTr="009E23CF">
        <w:trPr>
          <w:trHeight w:val="328"/>
        </w:trPr>
        <w:tc>
          <w:tcPr>
            <w:tcW w:w="936" w:type="pct"/>
            <w:vAlign w:val="center"/>
          </w:tcPr>
          <w:p w14:paraId="47EDDDF1" w14:textId="02994055" w:rsidR="0076070A" w:rsidRPr="008E37A0" w:rsidRDefault="0076070A" w:rsidP="0076070A">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r w:rsidRPr="008E37A0">
              <w:rPr>
                <w:b/>
                <w:sz w:val="20"/>
                <w:szCs w:val="20"/>
              </w:rPr>
              <w:t>Overall objective (impact)</w:t>
            </w:r>
          </w:p>
        </w:tc>
        <w:tc>
          <w:tcPr>
            <w:tcW w:w="4064" w:type="pct"/>
            <w:gridSpan w:val="2"/>
            <w:vAlign w:val="center"/>
          </w:tcPr>
          <w:p w14:paraId="3761862F" w14:textId="28C23851" w:rsidR="0076070A" w:rsidRPr="008E37A0" w:rsidRDefault="0076070A" w:rsidP="0076070A">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r w:rsidRPr="008E37A0">
              <w:rPr>
                <w:sz w:val="20"/>
                <w:szCs w:val="20"/>
              </w:rPr>
              <w:t xml:space="preserve">All people in </w:t>
            </w:r>
            <w:r w:rsidR="000F157B" w:rsidRPr="008E37A0">
              <w:rPr>
                <w:sz w:val="20"/>
                <w:szCs w:val="20"/>
              </w:rPr>
              <w:t>Georgia</w:t>
            </w:r>
            <w:r w:rsidRPr="008E37A0">
              <w:rPr>
                <w:sz w:val="20"/>
                <w:szCs w:val="20"/>
              </w:rPr>
              <w:t xml:space="preserve"> have equitable access to essential quality health service and are protected from catastrophic health expenditures</w:t>
            </w:r>
          </w:p>
        </w:tc>
      </w:tr>
      <w:tr w:rsidR="0076070A" w:rsidRPr="008E37A0" w14:paraId="391E3521" w14:textId="77777777" w:rsidTr="009E23CF">
        <w:trPr>
          <w:trHeight w:val="328"/>
        </w:trPr>
        <w:tc>
          <w:tcPr>
            <w:tcW w:w="936" w:type="pct"/>
            <w:vMerge w:val="restart"/>
            <w:vAlign w:val="center"/>
          </w:tcPr>
          <w:p w14:paraId="5B3207A2" w14:textId="254F72D9" w:rsidR="0076070A" w:rsidRPr="008E37A0" w:rsidRDefault="0076070A" w:rsidP="00D54AF1">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r w:rsidRPr="008E37A0">
              <w:rPr>
                <w:rStyle w:val="Nessuno"/>
                <w:b/>
                <w:bCs/>
                <w:sz w:val="20"/>
                <w:szCs w:val="20"/>
              </w:rPr>
              <w:t xml:space="preserve">Specific objectives </w:t>
            </w:r>
            <w:r w:rsidR="0026089B" w:rsidRPr="008E37A0">
              <w:rPr>
                <w:rStyle w:val="Nessuno"/>
                <w:b/>
                <w:bCs/>
                <w:sz w:val="20"/>
                <w:szCs w:val="20"/>
              </w:rPr>
              <w:t xml:space="preserve">(SO) </w:t>
            </w:r>
            <w:r w:rsidRPr="008E37A0">
              <w:rPr>
                <w:rStyle w:val="Nessuno"/>
                <w:b/>
                <w:bCs/>
                <w:sz w:val="20"/>
                <w:szCs w:val="20"/>
              </w:rPr>
              <w:t>(outcome)</w:t>
            </w:r>
          </w:p>
        </w:tc>
        <w:tc>
          <w:tcPr>
            <w:tcW w:w="4064" w:type="pct"/>
            <w:gridSpan w:val="2"/>
            <w:vAlign w:val="center"/>
          </w:tcPr>
          <w:p w14:paraId="416E2214" w14:textId="2B088A1F" w:rsidR="0076070A" w:rsidRPr="00A12BDE" w:rsidRDefault="0076070A" w:rsidP="00D54AF1">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rPr>
            </w:pPr>
            <w:r w:rsidRPr="00A12BDE">
              <w:rPr>
                <w:rStyle w:val="Nessuno"/>
                <w:b/>
                <w:sz w:val="20"/>
                <w:szCs w:val="20"/>
              </w:rPr>
              <w:t>SO 1</w:t>
            </w:r>
            <w:r w:rsidRPr="00A12BDE">
              <w:rPr>
                <w:rStyle w:val="Nessuno"/>
                <w:sz w:val="20"/>
                <w:szCs w:val="20"/>
              </w:rPr>
              <w:t xml:space="preserve"> - </w:t>
            </w:r>
            <w:r w:rsidR="005973E7" w:rsidRPr="00A12BDE">
              <w:rPr>
                <w:sz w:val="20"/>
                <w:szCs w:val="20"/>
              </w:rPr>
              <w:t>Strengthened</w:t>
            </w:r>
            <w:r w:rsidR="005973E7" w:rsidRPr="00A12BDE" w:rsidDel="00535929">
              <w:rPr>
                <w:sz w:val="20"/>
                <w:szCs w:val="20"/>
              </w:rPr>
              <w:t xml:space="preserve"> </w:t>
            </w:r>
            <w:r w:rsidR="005973E7" w:rsidRPr="00A12BDE">
              <w:rPr>
                <w:sz w:val="20"/>
                <w:szCs w:val="20"/>
              </w:rPr>
              <w:t xml:space="preserve">health sector governance and financing mechanisms </w:t>
            </w:r>
          </w:p>
        </w:tc>
      </w:tr>
      <w:tr w:rsidR="0076070A" w:rsidRPr="008E37A0" w14:paraId="14629BB5" w14:textId="77777777" w:rsidTr="009E23CF">
        <w:tc>
          <w:tcPr>
            <w:tcW w:w="936" w:type="pct"/>
            <w:vMerge/>
            <w:vAlign w:val="center"/>
          </w:tcPr>
          <w:p w14:paraId="56E900FD" w14:textId="77777777" w:rsidR="0076070A" w:rsidRPr="008E37A0" w:rsidRDefault="0076070A" w:rsidP="00D54AF1">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p>
        </w:tc>
        <w:tc>
          <w:tcPr>
            <w:tcW w:w="4064" w:type="pct"/>
            <w:gridSpan w:val="2"/>
            <w:vAlign w:val="center"/>
          </w:tcPr>
          <w:p w14:paraId="47FEC89A" w14:textId="16AD3010" w:rsidR="0076070A" w:rsidRPr="008E37A0" w:rsidRDefault="0076070A">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r w:rsidRPr="008E37A0">
              <w:rPr>
                <w:rStyle w:val="Nessuno"/>
                <w:b/>
                <w:sz w:val="20"/>
                <w:szCs w:val="20"/>
              </w:rPr>
              <w:t>SO 2</w:t>
            </w:r>
            <w:r w:rsidRPr="008E37A0">
              <w:rPr>
                <w:rStyle w:val="Nessuno"/>
                <w:sz w:val="20"/>
                <w:szCs w:val="20"/>
              </w:rPr>
              <w:t xml:space="preserve"> – </w:t>
            </w:r>
            <w:r w:rsidR="005973E7" w:rsidRPr="008E37A0">
              <w:rPr>
                <w:sz w:val="20"/>
                <w:szCs w:val="20"/>
              </w:rPr>
              <w:t xml:space="preserve">Integrated primary </w:t>
            </w:r>
            <w:r w:rsidR="006A5E18" w:rsidRPr="008E37A0">
              <w:rPr>
                <w:sz w:val="20"/>
                <w:szCs w:val="20"/>
              </w:rPr>
              <w:t>health</w:t>
            </w:r>
            <w:r w:rsidR="005973E7" w:rsidRPr="008E37A0">
              <w:rPr>
                <w:sz w:val="20"/>
                <w:szCs w:val="20"/>
              </w:rPr>
              <w:t xml:space="preserve"> care </w:t>
            </w:r>
            <w:r w:rsidR="006A5E18" w:rsidRPr="008E37A0">
              <w:rPr>
                <w:sz w:val="20"/>
                <w:szCs w:val="20"/>
              </w:rPr>
              <w:t xml:space="preserve">of improved </w:t>
            </w:r>
            <w:r w:rsidR="005973E7" w:rsidRPr="008E37A0">
              <w:rPr>
                <w:sz w:val="20"/>
                <w:szCs w:val="20"/>
              </w:rPr>
              <w:t>access and service quality</w:t>
            </w:r>
            <w:r w:rsidR="000F157B" w:rsidRPr="008E37A0">
              <w:rPr>
                <w:sz w:val="20"/>
                <w:szCs w:val="20"/>
              </w:rPr>
              <w:t xml:space="preserve"> and strengthened primary health system to effectively address prevention of NCDs</w:t>
            </w:r>
          </w:p>
        </w:tc>
      </w:tr>
      <w:tr w:rsidR="0076070A" w:rsidRPr="008E37A0" w14:paraId="7056ECF2" w14:textId="77777777" w:rsidTr="00B85466">
        <w:trPr>
          <w:trHeight w:val="511"/>
        </w:trPr>
        <w:tc>
          <w:tcPr>
            <w:tcW w:w="936" w:type="pct"/>
            <w:vMerge/>
            <w:vAlign w:val="center"/>
          </w:tcPr>
          <w:p w14:paraId="25FC277A" w14:textId="77777777" w:rsidR="0076070A" w:rsidRPr="008E37A0" w:rsidRDefault="0076070A" w:rsidP="00D54AF1">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p>
        </w:tc>
        <w:tc>
          <w:tcPr>
            <w:tcW w:w="4064" w:type="pct"/>
            <w:gridSpan w:val="2"/>
            <w:vAlign w:val="center"/>
          </w:tcPr>
          <w:p w14:paraId="2656F08C" w14:textId="74D69809" w:rsidR="0076070A" w:rsidRPr="008E37A0" w:rsidRDefault="0076070A" w:rsidP="00B85466">
            <w:pPr>
              <w:pStyle w:val="Corpo"/>
              <w:pBdr>
                <w:top w:val="none" w:sz="0" w:space="0" w:color="auto"/>
                <w:left w:val="none" w:sz="0" w:space="0" w:color="auto"/>
                <w:bottom w:val="none" w:sz="0" w:space="0" w:color="auto"/>
                <w:right w:val="none" w:sz="0" w:space="0" w:color="auto"/>
                <w:between w:val="none" w:sz="0" w:space="0" w:color="auto"/>
                <w:bar w:val="none" w:sz="0" w:color="auto"/>
              </w:pBdr>
              <w:rPr>
                <w:rStyle w:val="Nessuno"/>
                <w:b/>
                <w:bCs/>
                <w:sz w:val="20"/>
                <w:szCs w:val="20"/>
                <w:highlight w:val="yellow"/>
              </w:rPr>
            </w:pPr>
            <w:r w:rsidRPr="008E37A0">
              <w:rPr>
                <w:rStyle w:val="Nessuno"/>
                <w:b/>
                <w:sz w:val="20"/>
                <w:szCs w:val="20"/>
              </w:rPr>
              <w:t xml:space="preserve">SO 3 </w:t>
            </w:r>
            <w:r w:rsidR="008C1052" w:rsidRPr="008E37A0">
              <w:rPr>
                <w:rStyle w:val="Nessuno"/>
                <w:b/>
                <w:sz w:val="20"/>
                <w:szCs w:val="20"/>
              </w:rPr>
              <w:t>–</w:t>
            </w:r>
            <w:r w:rsidR="00FB5121" w:rsidRPr="008E37A0">
              <w:rPr>
                <w:sz w:val="20"/>
                <w:szCs w:val="20"/>
              </w:rPr>
              <w:t xml:space="preserve"> </w:t>
            </w:r>
            <w:r w:rsidR="008C1052" w:rsidRPr="008E37A0">
              <w:rPr>
                <w:sz w:val="20"/>
                <w:szCs w:val="20"/>
              </w:rPr>
              <w:t>Promotion of h</w:t>
            </w:r>
            <w:r w:rsidR="008C1052" w:rsidRPr="008E37A0">
              <w:rPr>
                <w:bCs/>
                <w:sz w:val="20"/>
                <w:szCs w:val="20"/>
              </w:rPr>
              <w:t>ealthy lifestyles and improved prevention of NCDs</w:t>
            </w:r>
            <w:r w:rsidR="000F157B" w:rsidRPr="008E37A0">
              <w:rPr>
                <w:bCs/>
                <w:sz w:val="20"/>
                <w:szCs w:val="20"/>
              </w:rPr>
              <w:t xml:space="preserve"> </w:t>
            </w:r>
          </w:p>
        </w:tc>
      </w:tr>
      <w:tr w:rsidR="0076070A" w:rsidRPr="008E37A0" w14:paraId="4B3EE3C1" w14:textId="77777777" w:rsidTr="009E23CF">
        <w:trPr>
          <w:trHeight w:val="481"/>
        </w:trPr>
        <w:tc>
          <w:tcPr>
            <w:tcW w:w="936" w:type="pct"/>
            <w:vAlign w:val="center"/>
          </w:tcPr>
          <w:p w14:paraId="51CCE1B2" w14:textId="2B120EE4" w:rsidR="0076070A" w:rsidRPr="008E37A0" w:rsidRDefault="0076070A" w:rsidP="00D54AF1">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r w:rsidRPr="008E37A0">
              <w:rPr>
                <w:rStyle w:val="Nessuno"/>
                <w:b/>
                <w:bCs/>
                <w:sz w:val="20"/>
                <w:szCs w:val="20"/>
              </w:rPr>
              <w:t>Result areas (area level outcomes)</w:t>
            </w:r>
          </w:p>
        </w:tc>
        <w:tc>
          <w:tcPr>
            <w:tcW w:w="3444" w:type="pct"/>
            <w:vAlign w:val="center"/>
          </w:tcPr>
          <w:p w14:paraId="3BFB4527" w14:textId="14484B01" w:rsidR="0076070A" w:rsidRPr="008E37A0" w:rsidRDefault="0076070A" w:rsidP="00D54AF1">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r w:rsidRPr="008E37A0">
              <w:rPr>
                <w:rStyle w:val="Nessuno"/>
                <w:b/>
                <w:bCs/>
                <w:sz w:val="20"/>
                <w:szCs w:val="20"/>
              </w:rPr>
              <w:t>Expected results (outputs) include:</w:t>
            </w:r>
          </w:p>
        </w:tc>
        <w:tc>
          <w:tcPr>
            <w:tcW w:w="620" w:type="pct"/>
            <w:vAlign w:val="center"/>
          </w:tcPr>
          <w:p w14:paraId="3198BAB1" w14:textId="2BA54EE2" w:rsidR="0076070A" w:rsidRPr="008E37A0" w:rsidRDefault="0076070A" w:rsidP="00D54AF1">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r w:rsidRPr="008E37A0">
              <w:rPr>
                <w:rStyle w:val="Nessuno"/>
                <w:b/>
                <w:bCs/>
                <w:sz w:val="20"/>
                <w:szCs w:val="20"/>
              </w:rPr>
              <w:t>Modality (inputs)</w:t>
            </w:r>
          </w:p>
        </w:tc>
      </w:tr>
      <w:tr w:rsidR="0076070A" w:rsidRPr="008E37A0" w14:paraId="21C713E2" w14:textId="77777777" w:rsidTr="009E23CF">
        <w:tc>
          <w:tcPr>
            <w:tcW w:w="936" w:type="pct"/>
            <w:vMerge w:val="restart"/>
            <w:vAlign w:val="center"/>
          </w:tcPr>
          <w:p w14:paraId="2C3A624C" w14:textId="5DB1AC2F" w:rsidR="0076070A" w:rsidRPr="008E37A0" w:rsidRDefault="008C542B">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rPr>
            </w:pPr>
            <w:r w:rsidRPr="008E37A0">
              <w:rPr>
                <w:rStyle w:val="Nessuno"/>
                <w:b/>
                <w:sz w:val="20"/>
                <w:szCs w:val="20"/>
              </w:rPr>
              <w:t xml:space="preserve">Outcome </w:t>
            </w:r>
            <w:r w:rsidR="0076070A" w:rsidRPr="008E37A0">
              <w:rPr>
                <w:rStyle w:val="Nessuno"/>
                <w:b/>
                <w:sz w:val="20"/>
                <w:szCs w:val="20"/>
              </w:rPr>
              <w:t>1</w:t>
            </w:r>
            <w:r w:rsidRPr="008E37A0">
              <w:rPr>
                <w:rStyle w:val="Nessuno"/>
                <w:b/>
                <w:sz w:val="20"/>
                <w:szCs w:val="20"/>
              </w:rPr>
              <w:t>:</w:t>
            </w:r>
            <w:r w:rsidR="005973E7" w:rsidRPr="008E37A0">
              <w:rPr>
                <w:b/>
                <w:sz w:val="20"/>
                <w:szCs w:val="20"/>
              </w:rPr>
              <w:t xml:space="preserve"> </w:t>
            </w:r>
            <w:r w:rsidR="005973E7" w:rsidRPr="008E37A0">
              <w:rPr>
                <w:sz w:val="20"/>
                <w:szCs w:val="20"/>
              </w:rPr>
              <w:t>Strengthened</w:t>
            </w:r>
            <w:r w:rsidR="005973E7" w:rsidRPr="008E37A0" w:rsidDel="00535929">
              <w:rPr>
                <w:sz w:val="20"/>
                <w:szCs w:val="20"/>
              </w:rPr>
              <w:t xml:space="preserve"> </w:t>
            </w:r>
            <w:r w:rsidR="005973E7" w:rsidRPr="008E37A0">
              <w:rPr>
                <w:sz w:val="20"/>
                <w:szCs w:val="20"/>
              </w:rPr>
              <w:t>health sector governance and financing mechanisms</w:t>
            </w:r>
          </w:p>
        </w:tc>
        <w:tc>
          <w:tcPr>
            <w:tcW w:w="3444" w:type="pct"/>
            <w:vAlign w:val="center"/>
          </w:tcPr>
          <w:p w14:paraId="56D9D01B" w14:textId="324013C8" w:rsidR="0076070A" w:rsidRPr="008E37A0" w:rsidRDefault="0076070A" w:rsidP="00D54AF1">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r w:rsidRPr="008E37A0">
              <w:rPr>
                <w:rStyle w:val="Nessuno"/>
                <w:b/>
                <w:sz w:val="20"/>
                <w:szCs w:val="20"/>
              </w:rPr>
              <w:t>Output 1.</w:t>
            </w:r>
            <w:r w:rsidR="007741C6" w:rsidRPr="008E37A0">
              <w:rPr>
                <w:rStyle w:val="Nessuno"/>
                <w:b/>
                <w:sz w:val="20"/>
                <w:szCs w:val="20"/>
              </w:rPr>
              <w:t>1</w:t>
            </w:r>
            <w:r w:rsidR="007741C6" w:rsidRPr="008E37A0">
              <w:rPr>
                <w:sz w:val="20"/>
                <w:szCs w:val="20"/>
              </w:rPr>
              <w:t xml:space="preserve"> Governance mechanisms upgraded at the national, sub-national and local levels linked to effective use of </w:t>
            </w:r>
            <w:r w:rsidR="002D6FEE" w:rsidRPr="008E37A0">
              <w:rPr>
                <w:sz w:val="20"/>
                <w:szCs w:val="20"/>
              </w:rPr>
              <w:t xml:space="preserve">digitalization in health and </w:t>
            </w:r>
            <w:r w:rsidR="007741C6" w:rsidRPr="008E37A0">
              <w:rPr>
                <w:sz w:val="20"/>
                <w:szCs w:val="20"/>
              </w:rPr>
              <w:t>information/HMIS data, HR</w:t>
            </w:r>
            <w:r w:rsidR="002D6FEE" w:rsidRPr="008E37A0">
              <w:rPr>
                <w:sz w:val="20"/>
                <w:szCs w:val="20"/>
              </w:rPr>
              <w:t>H</w:t>
            </w:r>
            <w:r w:rsidR="007741C6" w:rsidRPr="008E37A0">
              <w:rPr>
                <w:sz w:val="20"/>
                <w:szCs w:val="20"/>
              </w:rPr>
              <w:t xml:space="preserve"> development enabling performance improvements</w:t>
            </w:r>
          </w:p>
        </w:tc>
        <w:tc>
          <w:tcPr>
            <w:tcW w:w="620" w:type="pct"/>
            <w:vMerge w:val="restart"/>
            <w:vAlign w:val="center"/>
          </w:tcPr>
          <w:p w14:paraId="3616DD6C" w14:textId="31914358" w:rsidR="0076070A" w:rsidRPr="008E37A0" w:rsidRDefault="0076070A">
            <w:pPr>
              <w:pStyle w:val="Corpo"/>
              <w:jc w:val="center"/>
              <w:rPr>
                <w:rStyle w:val="Nessuno"/>
                <w:sz w:val="20"/>
                <w:szCs w:val="20"/>
              </w:rPr>
            </w:pPr>
            <w:r w:rsidRPr="008E37A0">
              <w:rPr>
                <w:rStyle w:val="Nessuno"/>
                <w:sz w:val="20"/>
                <w:szCs w:val="20"/>
              </w:rPr>
              <w:t>Indirect Management</w:t>
            </w:r>
          </w:p>
          <w:p w14:paraId="7D11751F" w14:textId="6078342E" w:rsidR="0076070A" w:rsidRPr="008E37A0" w:rsidRDefault="0076070A" w:rsidP="00212975">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Style w:val="Nessuno"/>
                <w:b/>
                <w:bCs/>
                <w:sz w:val="20"/>
                <w:szCs w:val="20"/>
                <w:highlight w:val="yellow"/>
              </w:rPr>
            </w:pPr>
            <w:r w:rsidRPr="008E37A0">
              <w:rPr>
                <w:rStyle w:val="Nessuno"/>
                <w:sz w:val="20"/>
                <w:szCs w:val="20"/>
              </w:rPr>
              <w:t xml:space="preserve">(EUR </w:t>
            </w:r>
            <w:r w:rsidR="000F157B" w:rsidRPr="008E37A0">
              <w:rPr>
                <w:rStyle w:val="Nessuno"/>
                <w:sz w:val="20"/>
                <w:szCs w:val="20"/>
              </w:rPr>
              <w:t xml:space="preserve">… </w:t>
            </w:r>
            <w:r w:rsidRPr="008E37A0">
              <w:rPr>
                <w:rStyle w:val="Nessuno"/>
                <w:sz w:val="20"/>
                <w:szCs w:val="20"/>
              </w:rPr>
              <w:t>M</w:t>
            </w:r>
            <w:r w:rsidRPr="008E37A0">
              <w:rPr>
                <w:rStyle w:val="Nessuno"/>
                <w:b/>
                <w:bCs/>
                <w:sz w:val="20"/>
                <w:szCs w:val="20"/>
              </w:rPr>
              <w:t>)</w:t>
            </w:r>
          </w:p>
        </w:tc>
      </w:tr>
      <w:tr w:rsidR="0076070A" w:rsidRPr="008E37A0" w14:paraId="1E460349" w14:textId="77777777" w:rsidTr="009E23CF">
        <w:tc>
          <w:tcPr>
            <w:tcW w:w="936" w:type="pct"/>
            <w:vMerge/>
            <w:vAlign w:val="center"/>
          </w:tcPr>
          <w:p w14:paraId="6D52950C" w14:textId="77777777" w:rsidR="0076070A" w:rsidRPr="008E37A0" w:rsidRDefault="0076070A" w:rsidP="00D54AF1">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p>
        </w:tc>
        <w:tc>
          <w:tcPr>
            <w:tcW w:w="3444" w:type="pct"/>
            <w:vAlign w:val="center"/>
          </w:tcPr>
          <w:p w14:paraId="142CE64C" w14:textId="42227834" w:rsidR="0076070A" w:rsidRPr="008E37A0" w:rsidRDefault="0076070A" w:rsidP="0050047E">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rPr>
            </w:pPr>
            <w:r w:rsidRPr="008E37A0">
              <w:rPr>
                <w:rStyle w:val="Nessuno"/>
                <w:b/>
                <w:sz w:val="20"/>
                <w:szCs w:val="20"/>
              </w:rPr>
              <w:t xml:space="preserve">Output </w:t>
            </w:r>
            <w:r w:rsidR="007741C6" w:rsidRPr="008E37A0">
              <w:rPr>
                <w:rStyle w:val="Nessuno"/>
                <w:b/>
                <w:sz w:val="20"/>
                <w:szCs w:val="20"/>
              </w:rPr>
              <w:t>1</w:t>
            </w:r>
            <w:r w:rsidRPr="008E37A0">
              <w:rPr>
                <w:rStyle w:val="Nessuno"/>
                <w:sz w:val="20"/>
                <w:szCs w:val="20"/>
              </w:rPr>
              <w:t>.</w:t>
            </w:r>
            <w:r w:rsidR="007741C6" w:rsidRPr="008E37A0">
              <w:rPr>
                <w:rStyle w:val="Nessuno"/>
                <w:b/>
                <w:sz w:val="20"/>
                <w:szCs w:val="20"/>
              </w:rPr>
              <w:t>2</w:t>
            </w:r>
            <w:r w:rsidR="007741C6" w:rsidRPr="008E37A0">
              <w:rPr>
                <w:b/>
                <w:sz w:val="20"/>
                <w:szCs w:val="20"/>
              </w:rPr>
              <w:t xml:space="preserve"> </w:t>
            </w:r>
            <w:r w:rsidR="002D6FEE" w:rsidRPr="008E37A0">
              <w:rPr>
                <w:sz w:val="20"/>
                <w:szCs w:val="20"/>
              </w:rPr>
              <w:t>Health financing mechanisms enabling equity, efficiency and quality of service delivery</w:t>
            </w:r>
            <w:r w:rsidR="002D6FEE" w:rsidRPr="008E37A0">
              <w:rPr>
                <w:bCs/>
                <w:sz w:val="20"/>
                <w:szCs w:val="20"/>
              </w:rPr>
              <w:t xml:space="preserve"> and improvement of provider payment methods based on the best international practice for specialized health care services</w:t>
            </w:r>
          </w:p>
        </w:tc>
        <w:tc>
          <w:tcPr>
            <w:tcW w:w="620" w:type="pct"/>
            <w:vMerge/>
            <w:vAlign w:val="center"/>
          </w:tcPr>
          <w:p w14:paraId="198BABAE" w14:textId="77777777" w:rsidR="0076070A" w:rsidRPr="008E37A0" w:rsidRDefault="0076070A" w:rsidP="00212975">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Style w:val="Nessuno"/>
                <w:b/>
                <w:bCs/>
                <w:sz w:val="20"/>
                <w:szCs w:val="20"/>
                <w:highlight w:val="yellow"/>
              </w:rPr>
            </w:pPr>
          </w:p>
        </w:tc>
      </w:tr>
      <w:tr w:rsidR="0076070A" w:rsidRPr="008E37A0" w14:paraId="33534A41" w14:textId="77777777" w:rsidTr="002D6FEE">
        <w:trPr>
          <w:trHeight w:val="1030"/>
        </w:trPr>
        <w:tc>
          <w:tcPr>
            <w:tcW w:w="936" w:type="pct"/>
            <w:vMerge w:val="restart"/>
            <w:vAlign w:val="center"/>
          </w:tcPr>
          <w:p w14:paraId="3C2814FD" w14:textId="67A3D9E6" w:rsidR="0076070A" w:rsidRPr="008E37A0" w:rsidRDefault="008C542B">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r w:rsidRPr="008E37A0">
              <w:rPr>
                <w:rStyle w:val="Nessuno"/>
                <w:b/>
                <w:sz w:val="20"/>
                <w:szCs w:val="20"/>
              </w:rPr>
              <w:t>Outcome 2:</w:t>
            </w:r>
            <w:r w:rsidRPr="008E37A0">
              <w:rPr>
                <w:b/>
                <w:sz w:val="20"/>
                <w:szCs w:val="20"/>
              </w:rPr>
              <w:t xml:space="preserve"> </w:t>
            </w:r>
            <w:r w:rsidR="00B85466" w:rsidRPr="008E37A0">
              <w:rPr>
                <w:sz w:val="20"/>
                <w:szCs w:val="20"/>
              </w:rPr>
              <w:t>Integrated primary health care of improved access and service quality and strengthened primary health system to effectively address prevention of NCDs</w:t>
            </w:r>
          </w:p>
        </w:tc>
        <w:tc>
          <w:tcPr>
            <w:tcW w:w="3444" w:type="pct"/>
            <w:vAlign w:val="center"/>
          </w:tcPr>
          <w:p w14:paraId="68B9F371" w14:textId="28B214C0" w:rsidR="0076070A" w:rsidRPr="008E37A0" w:rsidRDefault="0076070A">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r w:rsidRPr="008E37A0">
              <w:rPr>
                <w:rStyle w:val="Nessuno"/>
                <w:b/>
                <w:sz w:val="20"/>
                <w:szCs w:val="20"/>
              </w:rPr>
              <w:t xml:space="preserve">Output </w:t>
            </w:r>
            <w:r w:rsidR="00614A6F" w:rsidRPr="008E37A0">
              <w:rPr>
                <w:rStyle w:val="Nessuno"/>
                <w:b/>
                <w:sz w:val="20"/>
                <w:szCs w:val="20"/>
              </w:rPr>
              <w:t>2</w:t>
            </w:r>
            <w:r w:rsidRPr="008E37A0">
              <w:rPr>
                <w:rStyle w:val="Nessuno"/>
                <w:b/>
                <w:sz w:val="20"/>
                <w:szCs w:val="20"/>
              </w:rPr>
              <w:t>.</w:t>
            </w:r>
            <w:r w:rsidR="00614A6F" w:rsidRPr="008E37A0">
              <w:rPr>
                <w:rStyle w:val="Nessuno"/>
                <w:b/>
                <w:sz w:val="20"/>
                <w:szCs w:val="20"/>
              </w:rPr>
              <w:t>1</w:t>
            </w:r>
            <w:r w:rsidR="007741C6" w:rsidRPr="008E37A0">
              <w:rPr>
                <w:rStyle w:val="BuborkszvegChar"/>
                <w:rFonts w:ascii="Times New Roman" w:hAnsi="Times New Roman"/>
                <w:sz w:val="20"/>
                <w:szCs w:val="20"/>
                <w:lang w:val="en-GB"/>
              </w:rPr>
              <w:t xml:space="preserve"> </w:t>
            </w:r>
            <w:r w:rsidR="007741C6" w:rsidRPr="008E37A0">
              <w:rPr>
                <w:rStyle w:val="Nessuno"/>
                <w:sz w:val="20"/>
                <w:szCs w:val="20"/>
              </w:rPr>
              <w:t>Concept and mechanism of integrating PHC delivery developed, agreed and implemented with an emphasis on strengthening family medicine</w:t>
            </w:r>
          </w:p>
        </w:tc>
        <w:tc>
          <w:tcPr>
            <w:tcW w:w="620" w:type="pct"/>
            <w:vMerge w:val="restart"/>
            <w:vAlign w:val="center"/>
          </w:tcPr>
          <w:p w14:paraId="28C92D14" w14:textId="77777777" w:rsidR="0076070A" w:rsidRPr="008E37A0" w:rsidRDefault="0076070A">
            <w:pPr>
              <w:pStyle w:val="Corpo"/>
              <w:jc w:val="center"/>
              <w:rPr>
                <w:rStyle w:val="Nessuno"/>
                <w:sz w:val="20"/>
                <w:szCs w:val="20"/>
              </w:rPr>
            </w:pPr>
            <w:r w:rsidRPr="008E37A0">
              <w:rPr>
                <w:rStyle w:val="Nessuno"/>
                <w:sz w:val="20"/>
                <w:szCs w:val="20"/>
              </w:rPr>
              <w:t>Indirect Management</w:t>
            </w:r>
          </w:p>
          <w:p w14:paraId="40BD2578" w14:textId="134F3385" w:rsidR="0076070A" w:rsidRPr="008E37A0" w:rsidRDefault="0076070A" w:rsidP="00212975">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Style w:val="Nessuno"/>
                <w:b/>
                <w:bCs/>
                <w:sz w:val="20"/>
                <w:szCs w:val="20"/>
                <w:highlight w:val="yellow"/>
              </w:rPr>
            </w:pPr>
            <w:r w:rsidRPr="008E37A0">
              <w:rPr>
                <w:rStyle w:val="Nessuno"/>
                <w:sz w:val="20"/>
                <w:szCs w:val="20"/>
              </w:rPr>
              <w:t xml:space="preserve">(EUR </w:t>
            </w:r>
            <w:r w:rsidR="000F157B" w:rsidRPr="008E37A0">
              <w:rPr>
                <w:rStyle w:val="Nessuno"/>
                <w:sz w:val="20"/>
                <w:szCs w:val="20"/>
              </w:rPr>
              <w:t>…</w:t>
            </w:r>
            <w:r w:rsidRPr="008E37A0">
              <w:rPr>
                <w:rStyle w:val="Nessuno"/>
                <w:sz w:val="20"/>
                <w:szCs w:val="20"/>
              </w:rPr>
              <w:t xml:space="preserve"> M)</w:t>
            </w:r>
          </w:p>
        </w:tc>
      </w:tr>
      <w:tr w:rsidR="0076070A" w:rsidRPr="008E37A0" w14:paraId="48126023" w14:textId="77777777" w:rsidTr="002D6FEE">
        <w:trPr>
          <w:trHeight w:val="1030"/>
        </w:trPr>
        <w:tc>
          <w:tcPr>
            <w:tcW w:w="936" w:type="pct"/>
            <w:vMerge/>
            <w:vAlign w:val="center"/>
          </w:tcPr>
          <w:p w14:paraId="1D547B67" w14:textId="77777777" w:rsidR="0076070A" w:rsidRPr="008E37A0" w:rsidRDefault="0076070A" w:rsidP="00D54AF1">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p>
        </w:tc>
        <w:tc>
          <w:tcPr>
            <w:tcW w:w="3444" w:type="pct"/>
            <w:vAlign w:val="center"/>
          </w:tcPr>
          <w:p w14:paraId="4D0EE573" w14:textId="52D2CFE2" w:rsidR="0076070A" w:rsidRPr="008E37A0" w:rsidRDefault="0076070A">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r w:rsidRPr="008E37A0">
              <w:rPr>
                <w:rStyle w:val="Nessuno"/>
                <w:b/>
                <w:sz w:val="20"/>
                <w:szCs w:val="20"/>
              </w:rPr>
              <w:t xml:space="preserve">Output </w:t>
            </w:r>
            <w:r w:rsidR="00614A6F" w:rsidRPr="008E37A0">
              <w:rPr>
                <w:rStyle w:val="Nessuno"/>
                <w:b/>
                <w:sz w:val="20"/>
                <w:szCs w:val="20"/>
              </w:rPr>
              <w:t>2</w:t>
            </w:r>
            <w:r w:rsidRPr="008E37A0">
              <w:rPr>
                <w:rStyle w:val="Nessuno"/>
                <w:b/>
                <w:sz w:val="20"/>
                <w:szCs w:val="20"/>
              </w:rPr>
              <w:t>.</w:t>
            </w:r>
            <w:r w:rsidR="00614A6F" w:rsidRPr="008E37A0">
              <w:rPr>
                <w:rStyle w:val="Nessuno"/>
                <w:b/>
                <w:sz w:val="20"/>
                <w:szCs w:val="20"/>
              </w:rPr>
              <w:t>2</w:t>
            </w:r>
            <w:r w:rsidR="008C542B" w:rsidRPr="008E37A0">
              <w:rPr>
                <w:b/>
                <w:sz w:val="20"/>
                <w:szCs w:val="20"/>
              </w:rPr>
              <w:t xml:space="preserve"> </w:t>
            </w:r>
            <w:r w:rsidR="008C542B" w:rsidRPr="008E37A0">
              <w:rPr>
                <w:sz w:val="20"/>
                <w:szCs w:val="20"/>
              </w:rPr>
              <w:t xml:space="preserve">Population </w:t>
            </w:r>
            <w:r w:rsidR="008C542B" w:rsidRPr="008E37A0">
              <w:rPr>
                <w:rStyle w:val="Nessuno"/>
                <w:sz w:val="20"/>
                <w:szCs w:val="20"/>
              </w:rPr>
              <w:t>access</w:t>
            </w:r>
            <w:r w:rsidR="008C542B" w:rsidRPr="008E37A0" w:rsidDel="005C43B5">
              <w:rPr>
                <w:sz w:val="20"/>
                <w:szCs w:val="20"/>
              </w:rPr>
              <w:t xml:space="preserve"> </w:t>
            </w:r>
            <w:r w:rsidR="008C542B" w:rsidRPr="008E37A0">
              <w:rPr>
                <w:rStyle w:val="Nessuno"/>
                <w:sz w:val="20"/>
                <w:szCs w:val="20"/>
              </w:rPr>
              <w:t>to integrated PHC services improved</w:t>
            </w:r>
          </w:p>
        </w:tc>
        <w:tc>
          <w:tcPr>
            <w:tcW w:w="620" w:type="pct"/>
            <w:vMerge/>
            <w:vAlign w:val="center"/>
          </w:tcPr>
          <w:p w14:paraId="4F854E1C" w14:textId="77777777" w:rsidR="0076070A" w:rsidRPr="008E37A0" w:rsidRDefault="0076070A" w:rsidP="00212975">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Style w:val="Nessuno"/>
                <w:b/>
                <w:bCs/>
                <w:sz w:val="20"/>
                <w:szCs w:val="20"/>
                <w:highlight w:val="yellow"/>
              </w:rPr>
            </w:pPr>
          </w:p>
        </w:tc>
      </w:tr>
      <w:tr w:rsidR="0076070A" w:rsidRPr="008E37A0" w14:paraId="40F07FEC" w14:textId="77777777" w:rsidTr="002D6FEE">
        <w:trPr>
          <w:trHeight w:val="1030"/>
        </w:trPr>
        <w:tc>
          <w:tcPr>
            <w:tcW w:w="936" w:type="pct"/>
            <w:vMerge/>
            <w:vAlign w:val="center"/>
          </w:tcPr>
          <w:p w14:paraId="03FF0200" w14:textId="77777777" w:rsidR="0076070A" w:rsidRPr="008E37A0" w:rsidRDefault="0076070A" w:rsidP="00D54AF1">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p>
        </w:tc>
        <w:tc>
          <w:tcPr>
            <w:tcW w:w="3444" w:type="pct"/>
            <w:vAlign w:val="center"/>
          </w:tcPr>
          <w:p w14:paraId="68FC60F6" w14:textId="209A1130" w:rsidR="0076070A" w:rsidRPr="008E37A0" w:rsidRDefault="0076070A">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r w:rsidRPr="008E37A0">
              <w:rPr>
                <w:rStyle w:val="Nessuno"/>
                <w:b/>
                <w:sz w:val="20"/>
                <w:szCs w:val="20"/>
              </w:rPr>
              <w:t xml:space="preserve">Output </w:t>
            </w:r>
            <w:r w:rsidR="00614A6F" w:rsidRPr="008E37A0">
              <w:rPr>
                <w:rStyle w:val="Nessuno"/>
                <w:b/>
                <w:sz w:val="20"/>
                <w:szCs w:val="20"/>
              </w:rPr>
              <w:t>2</w:t>
            </w:r>
            <w:r w:rsidRPr="008E37A0">
              <w:rPr>
                <w:rStyle w:val="Nessuno"/>
                <w:b/>
                <w:sz w:val="20"/>
                <w:szCs w:val="20"/>
              </w:rPr>
              <w:t>.</w:t>
            </w:r>
            <w:r w:rsidR="00614A6F" w:rsidRPr="008E37A0">
              <w:rPr>
                <w:rStyle w:val="Nessuno"/>
                <w:b/>
                <w:sz w:val="20"/>
                <w:szCs w:val="20"/>
              </w:rPr>
              <w:t>3</w:t>
            </w:r>
            <w:r w:rsidR="008C542B" w:rsidRPr="008E37A0">
              <w:rPr>
                <w:sz w:val="20"/>
                <w:szCs w:val="20"/>
              </w:rPr>
              <w:t xml:space="preserve"> Quality management and improvement mechanism developed and introduced in health facilities</w:t>
            </w:r>
          </w:p>
        </w:tc>
        <w:tc>
          <w:tcPr>
            <w:tcW w:w="620" w:type="pct"/>
            <w:vMerge/>
            <w:vAlign w:val="center"/>
          </w:tcPr>
          <w:p w14:paraId="3520A897" w14:textId="77777777" w:rsidR="0076070A" w:rsidRPr="008E37A0" w:rsidRDefault="0076070A" w:rsidP="00212975">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Style w:val="Nessuno"/>
                <w:b/>
                <w:bCs/>
                <w:sz w:val="20"/>
                <w:szCs w:val="20"/>
                <w:highlight w:val="yellow"/>
              </w:rPr>
            </w:pPr>
          </w:p>
        </w:tc>
      </w:tr>
      <w:tr w:rsidR="0076070A" w:rsidRPr="008E37A0" w14:paraId="32A8C738" w14:textId="77777777" w:rsidTr="009E23CF">
        <w:tc>
          <w:tcPr>
            <w:tcW w:w="936" w:type="pct"/>
            <w:vMerge w:val="restart"/>
            <w:vAlign w:val="center"/>
          </w:tcPr>
          <w:p w14:paraId="2C36E021" w14:textId="1F47B241" w:rsidR="0076070A" w:rsidRPr="008E37A0" w:rsidRDefault="008C542B">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Cs/>
                <w:sz w:val="20"/>
                <w:szCs w:val="20"/>
                <w:highlight w:val="yellow"/>
              </w:rPr>
            </w:pPr>
            <w:r w:rsidRPr="008E37A0">
              <w:rPr>
                <w:rStyle w:val="Nessuno"/>
                <w:b/>
                <w:sz w:val="20"/>
                <w:szCs w:val="20"/>
              </w:rPr>
              <w:lastRenderedPageBreak/>
              <w:t>Outcome 3:</w:t>
            </w:r>
            <w:r w:rsidRPr="008E37A0">
              <w:rPr>
                <w:b/>
                <w:sz w:val="20"/>
                <w:szCs w:val="20"/>
              </w:rPr>
              <w:t xml:space="preserve"> </w:t>
            </w:r>
            <w:r w:rsidR="008C1052" w:rsidRPr="008E37A0">
              <w:rPr>
                <w:bCs/>
                <w:sz w:val="20"/>
                <w:szCs w:val="20"/>
              </w:rPr>
              <w:t>Promotion of healthy lifestyles and improved prevention of NCDs</w:t>
            </w:r>
          </w:p>
        </w:tc>
        <w:tc>
          <w:tcPr>
            <w:tcW w:w="3444" w:type="pct"/>
            <w:vAlign w:val="center"/>
          </w:tcPr>
          <w:p w14:paraId="50410FCE" w14:textId="52336AB5" w:rsidR="0076070A" w:rsidRPr="008E37A0" w:rsidRDefault="0076070A">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r w:rsidRPr="008E37A0">
              <w:rPr>
                <w:rStyle w:val="Nessuno"/>
                <w:b/>
                <w:sz w:val="20"/>
                <w:szCs w:val="20"/>
              </w:rPr>
              <w:t xml:space="preserve">Output </w:t>
            </w:r>
            <w:r w:rsidR="00614A6F" w:rsidRPr="008E37A0">
              <w:rPr>
                <w:rStyle w:val="Nessuno"/>
                <w:b/>
                <w:sz w:val="20"/>
                <w:szCs w:val="20"/>
              </w:rPr>
              <w:t>3</w:t>
            </w:r>
            <w:r w:rsidRPr="008E37A0">
              <w:rPr>
                <w:rStyle w:val="Nessuno"/>
                <w:b/>
                <w:sz w:val="20"/>
                <w:szCs w:val="20"/>
              </w:rPr>
              <w:t>.</w:t>
            </w:r>
            <w:r w:rsidR="00614A6F" w:rsidRPr="008E37A0">
              <w:rPr>
                <w:rStyle w:val="Nessuno"/>
                <w:b/>
                <w:sz w:val="20"/>
                <w:szCs w:val="20"/>
              </w:rPr>
              <w:t>1</w:t>
            </w:r>
            <w:r w:rsidR="008C542B" w:rsidRPr="008E37A0">
              <w:rPr>
                <w:sz w:val="20"/>
                <w:szCs w:val="20"/>
              </w:rPr>
              <w:t xml:space="preserve"> </w:t>
            </w:r>
            <w:r w:rsidR="008A0224" w:rsidRPr="008E37A0">
              <w:rPr>
                <w:sz w:val="20"/>
                <w:szCs w:val="20"/>
              </w:rPr>
              <w:t xml:space="preserve">The population has improved heath seeking </w:t>
            </w:r>
            <w:r w:rsidR="00A12BDE" w:rsidRPr="008E37A0">
              <w:rPr>
                <w:sz w:val="20"/>
                <w:szCs w:val="20"/>
              </w:rPr>
              <w:t>behaviour</w:t>
            </w:r>
            <w:r w:rsidR="008A0224" w:rsidRPr="008E37A0">
              <w:rPr>
                <w:sz w:val="20"/>
                <w:szCs w:val="20"/>
              </w:rPr>
              <w:t xml:space="preserve"> and reduced NCDs risk </w:t>
            </w:r>
            <w:r w:rsidR="00A12BDE" w:rsidRPr="008E37A0">
              <w:rPr>
                <w:sz w:val="20"/>
                <w:szCs w:val="20"/>
              </w:rPr>
              <w:t>behaviour</w:t>
            </w:r>
            <w:r w:rsidR="008A0224" w:rsidRPr="008E37A0">
              <w:rPr>
                <w:sz w:val="20"/>
                <w:szCs w:val="20"/>
              </w:rPr>
              <w:t xml:space="preserve"> to reduce the impact of the most significant risk factors for non-communicable diseases </w:t>
            </w:r>
          </w:p>
        </w:tc>
        <w:tc>
          <w:tcPr>
            <w:tcW w:w="620" w:type="pct"/>
            <w:vMerge w:val="restart"/>
            <w:vAlign w:val="center"/>
          </w:tcPr>
          <w:p w14:paraId="51236007" w14:textId="77777777" w:rsidR="0076070A" w:rsidRPr="008E37A0" w:rsidRDefault="0076070A">
            <w:pPr>
              <w:pStyle w:val="Corpo"/>
              <w:jc w:val="center"/>
              <w:rPr>
                <w:rStyle w:val="Nessuno"/>
                <w:sz w:val="20"/>
                <w:szCs w:val="20"/>
              </w:rPr>
            </w:pPr>
            <w:r w:rsidRPr="008E37A0">
              <w:rPr>
                <w:rStyle w:val="Nessuno"/>
                <w:sz w:val="20"/>
                <w:szCs w:val="20"/>
              </w:rPr>
              <w:t>Indirect Management</w:t>
            </w:r>
          </w:p>
          <w:p w14:paraId="6B08260E" w14:textId="58D1AEBD" w:rsidR="0076070A" w:rsidRPr="008E37A0" w:rsidRDefault="0076070A" w:rsidP="00212975">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Style w:val="Nessuno"/>
                <w:bCs/>
                <w:sz w:val="20"/>
                <w:szCs w:val="20"/>
                <w:highlight w:val="yellow"/>
              </w:rPr>
            </w:pPr>
            <w:r w:rsidRPr="008E37A0">
              <w:rPr>
                <w:rStyle w:val="Nessuno"/>
                <w:sz w:val="20"/>
                <w:szCs w:val="20"/>
              </w:rPr>
              <w:t xml:space="preserve">(EUR </w:t>
            </w:r>
            <w:r w:rsidR="000F157B" w:rsidRPr="008E37A0">
              <w:rPr>
                <w:rStyle w:val="Nessuno"/>
                <w:sz w:val="20"/>
                <w:szCs w:val="20"/>
              </w:rPr>
              <w:t>…</w:t>
            </w:r>
            <w:r w:rsidRPr="008E37A0">
              <w:rPr>
                <w:rStyle w:val="Nessuno"/>
                <w:sz w:val="20"/>
                <w:szCs w:val="20"/>
              </w:rPr>
              <w:t>M)</w:t>
            </w:r>
          </w:p>
        </w:tc>
      </w:tr>
      <w:tr w:rsidR="0076070A" w:rsidRPr="008E37A0" w14:paraId="5DEC2675" w14:textId="77777777" w:rsidTr="009E23CF">
        <w:tc>
          <w:tcPr>
            <w:tcW w:w="936" w:type="pct"/>
            <w:vMerge/>
            <w:vAlign w:val="center"/>
          </w:tcPr>
          <w:p w14:paraId="0FEF8AFC" w14:textId="77777777" w:rsidR="0076070A" w:rsidRPr="008E37A0" w:rsidRDefault="0076070A" w:rsidP="00D54AF1">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p>
        </w:tc>
        <w:tc>
          <w:tcPr>
            <w:tcW w:w="3444" w:type="pct"/>
            <w:vAlign w:val="center"/>
          </w:tcPr>
          <w:p w14:paraId="73B39EA4" w14:textId="1DD687AD" w:rsidR="0076070A" w:rsidRPr="008E37A0" w:rsidRDefault="0076070A">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r w:rsidRPr="008E37A0">
              <w:rPr>
                <w:rStyle w:val="Nessuno"/>
                <w:b/>
                <w:sz w:val="20"/>
                <w:szCs w:val="20"/>
              </w:rPr>
              <w:t xml:space="preserve">Output </w:t>
            </w:r>
            <w:r w:rsidR="00614A6F" w:rsidRPr="008E37A0">
              <w:rPr>
                <w:rStyle w:val="Nessuno"/>
                <w:b/>
                <w:sz w:val="20"/>
                <w:szCs w:val="20"/>
              </w:rPr>
              <w:t>3</w:t>
            </w:r>
            <w:r w:rsidRPr="008E37A0">
              <w:rPr>
                <w:rStyle w:val="Nessuno"/>
                <w:b/>
                <w:sz w:val="20"/>
                <w:szCs w:val="20"/>
              </w:rPr>
              <w:t>.</w:t>
            </w:r>
            <w:r w:rsidR="00614A6F" w:rsidRPr="008E37A0">
              <w:rPr>
                <w:rStyle w:val="Nessuno"/>
                <w:b/>
                <w:sz w:val="20"/>
                <w:szCs w:val="20"/>
              </w:rPr>
              <w:t>2</w:t>
            </w:r>
            <w:r w:rsidR="008C542B" w:rsidRPr="008E37A0">
              <w:rPr>
                <w:rStyle w:val="BuborkszvegChar"/>
                <w:rFonts w:ascii="Times New Roman" w:hAnsi="Times New Roman"/>
                <w:sz w:val="20"/>
                <w:szCs w:val="20"/>
                <w:lang w:val="en-GB"/>
              </w:rPr>
              <w:t xml:space="preserve"> </w:t>
            </w:r>
            <w:r w:rsidR="008A0224" w:rsidRPr="008E37A0">
              <w:rPr>
                <w:rStyle w:val="BuborkszvegChar"/>
                <w:rFonts w:ascii="Times New Roman" w:hAnsi="Times New Roman"/>
                <w:sz w:val="20"/>
                <w:szCs w:val="20"/>
                <w:lang w:val="en-GB"/>
              </w:rPr>
              <w:t>P</w:t>
            </w:r>
            <w:r w:rsidR="008A0224" w:rsidRPr="008E37A0">
              <w:rPr>
                <w:rFonts w:cs="Tahoma"/>
                <w:sz w:val="20"/>
                <w:szCs w:val="20"/>
                <w:lang w:eastAsia="en-US"/>
              </w:rPr>
              <w:t xml:space="preserve">revention of non-communicable diseases </w:t>
            </w:r>
            <w:r w:rsidR="00A12BDE" w:rsidRPr="008E37A0">
              <w:rPr>
                <w:rFonts w:cs="Tahoma"/>
                <w:sz w:val="20"/>
                <w:szCs w:val="20"/>
                <w:lang w:eastAsia="en-US"/>
              </w:rPr>
              <w:t>strengthened,</w:t>
            </w:r>
            <w:r w:rsidR="008A0224" w:rsidRPr="008E37A0">
              <w:rPr>
                <w:rFonts w:cs="Tahoma"/>
                <w:sz w:val="20"/>
                <w:szCs w:val="20"/>
                <w:lang w:eastAsia="en-US"/>
              </w:rPr>
              <w:t xml:space="preserve"> and screening programmes prepared and implemented</w:t>
            </w:r>
          </w:p>
        </w:tc>
        <w:tc>
          <w:tcPr>
            <w:tcW w:w="620" w:type="pct"/>
            <w:vMerge/>
            <w:vAlign w:val="center"/>
          </w:tcPr>
          <w:p w14:paraId="4CD9E327" w14:textId="77777777" w:rsidR="0076070A" w:rsidRPr="008E37A0" w:rsidRDefault="0076070A" w:rsidP="00D54AF1">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rPr>
                <w:rStyle w:val="Nessuno"/>
                <w:b/>
                <w:bCs/>
                <w:sz w:val="20"/>
                <w:szCs w:val="20"/>
                <w:highlight w:val="yellow"/>
              </w:rPr>
            </w:pPr>
          </w:p>
        </w:tc>
      </w:tr>
    </w:tbl>
    <w:p w14:paraId="7421FC1D" w14:textId="77777777" w:rsidR="00AE21A5" w:rsidRPr="008E37A0" w:rsidRDefault="00AE21A5" w:rsidP="00D54AF1">
      <w:pPr>
        <w:pStyle w:val="Corpo"/>
        <w:spacing w:after="120"/>
      </w:pPr>
    </w:p>
    <w:p w14:paraId="56D1E2A3" w14:textId="6009779E" w:rsidR="00AE21A5" w:rsidRPr="008E37A0" w:rsidRDefault="00DF7D72" w:rsidP="00D54AF1">
      <w:pPr>
        <w:pStyle w:val="Corpo"/>
        <w:spacing w:after="120"/>
        <w:jc w:val="both"/>
        <w:rPr>
          <w:rStyle w:val="Nessuno"/>
          <w:sz w:val="22"/>
          <w:szCs w:val="22"/>
        </w:rPr>
      </w:pPr>
      <w:r w:rsidRPr="008E37A0">
        <w:rPr>
          <w:rStyle w:val="Nessuno"/>
          <w:sz w:val="22"/>
          <w:szCs w:val="22"/>
        </w:rPr>
        <w:t xml:space="preserve">This </w:t>
      </w:r>
      <w:r w:rsidR="004673FF" w:rsidRPr="008E37A0">
        <w:rPr>
          <w:rStyle w:val="Nessuno"/>
          <w:sz w:val="22"/>
          <w:szCs w:val="22"/>
        </w:rPr>
        <w:t>a</w:t>
      </w:r>
      <w:r w:rsidRPr="008E37A0">
        <w:rPr>
          <w:rStyle w:val="Nessuno"/>
          <w:sz w:val="22"/>
          <w:szCs w:val="22"/>
        </w:rPr>
        <w:t xml:space="preserve">ction will be implemented under the leadership of the </w:t>
      </w:r>
      <w:r w:rsidR="002D6FEE" w:rsidRPr="008E37A0">
        <w:rPr>
          <w:sz w:val="22"/>
          <w:szCs w:val="22"/>
        </w:rPr>
        <w:t>Ministry of Internally Displaced Persons from the Occupied Territories, Labour, Health and Social Affairs of Georgia</w:t>
      </w:r>
      <w:r w:rsidRPr="008E37A0">
        <w:rPr>
          <w:rStyle w:val="Nessuno"/>
          <w:sz w:val="22"/>
          <w:szCs w:val="22"/>
        </w:rPr>
        <w:t xml:space="preserve"> with strong </w:t>
      </w:r>
      <w:r w:rsidR="00D73EBF" w:rsidRPr="008E37A0">
        <w:rPr>
          <w:rStyle w:val="Nessuno"/>
          <w:sz w:val="22"/>
          <w:szCs w:val="22"/>
        </w:rPr>
        <w:t xml:space="preserve">involvement </w:t>
      </w:r>
      <w:r w:rsidR="00CB6BEF" w:rsidRPr="008E37A0">
        <w:rPr>
          <w:rStyle w:val="Nessuno"/>
          <w:sz w:val="22"/>
          <w:szCs w:val="22"/>
        </w:rPr>
        <w:t xml:space="preserve">from </w:t>
      </w:r>
      <w:r w:rsidRPr="008E37A0">
        <w:rPr>
          <w:rStyle w:val="Nessuno"/>
          <w:sz w:val="22"/>
          <w:szCs w:val="22"/>
        </w:rPr>
        <w:t>the M</w:t>
      </w:r>
      <w:r w:rsidR="00D73EBF" w:rsidRPr="008E37A0">
        <w:rPr>
          <w:rStyle w:val="Nessuno"/>
          <w:sz w:val="22"/>
          <w:szCs w:val="22"/>
        </w:rPr>
        <w:t>inistry of Finance</w:t>
      </w:r>
      <w:r w:rsidRPr="008E37A0">
        <w:rPr>
          <w:rStyle w:val="Nessuno"/>
          <w:sz w:val="22"/>
          <w:szCs w:val="22"/>
        </w:rPr>
        <w:t xml:space="preserve">. The EU Delegation will ensure the action is supported through continuous and well-coordinated policy dialogue in line with the UHC Partnership policy dialogue priorities. The </w:t>
      </w:r>
      <w:r w:rsidR="002174FC" w:rsidRPr="008E37A0">
        <w:rPr>
          <w:sz w:val="22"/>
          <w:szCs w:val="22"/>
        </w:rPr>
        <w:t>MoIDPLHSA</w:t>
      </w:r>
      <w:r w:rsidRPr="008E37A0">
        <w:rPr>
          <w:rStyle w:val="Nessuno"/>
          <w:sz w:val="22"/>
          <w:szCs w:val="22"/>
        </w:rPr>
        <w:t>, M</w:t>
      </w:r>
      <w:r w:rsidR="0026089B" w:rsidRPr="008E37A0">
        <w:rPr>
          <w:rStyle w:val="Nessuno"/>
          <w:sz w:val="22"/>
          <w:szCs w:val="22"/>
        </w:rPr>
        <w:t>o</w:t>
      </w:r>
      <w:r w:rsidRPr="008E37A0">
        <w:rPr>
          <w:rStyle w:val="Nessuno"/>
          <w:sz w:val="22"/>
          <w:szCs w:val="22"/>
        </w:rPr>
        <w:t>F and EU dialogue must be coherent and effective to ensure a successful implementation of this action. A policy dialogue matrix will be developed for this action</w:t>
      </w:r>
      <w:r w:rsidR="00816D2C" w:rsidRPr="008E37A0">
        <w:rPr>
          <w:rStyle w:val="Nessuno"/>
          <w:sz w:val="22"/>
          <w:szCs w:val="22"/>
        </w:rPr>
        <w:t>,</w:t>
      </w:r>
      <w:r w:rsidRPr="008E37A0">
        <w:rPr>
          <w:rStyle w:val="Nessuno"/>
          <w:sz w:val="22"/>
          <w:szCs w:val="22"/>
        </w:rPr>
        <w:t xml:space="preserve"> which will define dialogue objectives, roles and timing. The </w:t>
      </w:r>
      <w:r w:rsidR="0026089B" w:rsidRPr="008E37A0">
        <w:rPr>
          <w:sz w:val="22"/>
          <w:szCs w:val="22"/>
        </w:rPr>
        <w:t>MoIDPLHSA</w:t>
      </w:r>
      <w:r w:rsidR="0026089B" w:rsidRPr="008E37A0">
        <w:rPr>
          <w:rStyle w:val="Nessuno"/>
          <w:sz w:val="22"/>
          <w:szCs w:val="22"/>
        </w:rPr>
        <w:t xml:space="preserve"> </w:t>
      </w:r>
      <w:r w:rsidRPr="008E37A0">
        <w:rPr>
          <w:rStyle w:val="Nessuno"/>
          <w:sz w:val="22"/>
          <w:szCs w:val="22"/>
        </w:rPr>
        <w:t>and M</w:t>
      </w:r>
      <w:r w:rsidR="0026089B" w:rsidRPr="008E37A0">
        <w:rPr>
          <w:rStyle w:val="Nessuno"/>
          <w:sz w:val="22"/>
          <w:szCs w:val="22"/>
        </w:rPr>
        <w:t>o</w:t>
      </w:r>
      <w:r w:rsidRPr="008E37A0">
        <w:rPr>
          <w:rStyle w:val="Nessuno"/>
          <w:sz w:val="22"/>
          <w:szCs w:val="22"/>
        </w:rPr>
        <w:t xml:space="preserve">F must sign the </w:t>
      </w:r>
      <w:r w:rsidR="003425B8">
        <w:rPr>
          <w:rStyle w:val="Nessuno"/>
          <w:sz w:val="22"/>
          <w:szCs w:val="22"/>
        </w:rPr>
        <w:t>programme</w:t>
      </w:r>
      <w:r w:rsidRPr="008E37A0">
        <w:rPr>
          <w:rStyle w:val="Nessuno"/>
          <w:sz w:val="22"/>
          <w:szCs w:val="22"/>
        </w:rPr>
        <w:t xml:space="preserve"> </w:t>
      </w:r>
      <w:r w:rsidR="002755DA" w:rsidRPr="008E37A0">
        <w:rPr>
          <w:rStyle w:val="Nessuno"/>
          <w:sz w:val="22"/>
          <w:szCs w:val="22"/>
        </w:rPr>
        <w:t xml:space="preserve">policy </w:t>
      </w:r>
      <w:r w:rsidRPr="008E37A0">
        <w:rPr>
          <w:rStyle w:val="Nessuno"/>
          <w:sz w:val="22"/>
          <w:szCs w:val="22"/>
        </w:rPr>
        <w:t>dialogue matrix</w:t>
      </w:r>
      <w:r w:rsidR="00D54AF1" w:rsidRPr="008E37A0">
        <w:rPr>
          <w:rStyle w:val="Nessuno"/>
          <w:sz w:val="22"/>
          <w:szCs w:val="22"/>
        </w:rPr>
        <w:t>.</w:t>
      </w:r>
      <w:r w:rsidR="00F50118" w:rsidRPr="008E37A0">
        <w:rPr>
          <w:rStyle w:val="Nessuno"/>
          <w:sz w:val="22"/>
          <w:szCs w:val="22"/>
        </w:rPr>
        <w:t xml:space="preserve"> The policy dialogue will also serve contribution to the feasibility of the </w:t>
      </w:r>
      <w:r w:rsidR="003425B8">
        <w:rPr>
          <w:rStyle w:val="Nessuno"/>
          <w:sz w:val="22"/>
          <w:szCs w:val="22"/>
        </w:rPr>
        <w:t>p</w:t>
      </w:r>
      <w:r w:rsidR="00F50118" w:rsidRPr="008E37A0">
        <w:rPr>
          <w:rStyle w:val="Nessuno"/>
          <w:sz w:val="22"/>
          <w:szCs w:val="22"/>
        </w:rPr>
        <w:t xml:space="preserve">rogramme implementation and sustainability of its results.  </w:t>
      </w:r>
    </w:p>
    <w:p w14:paraId="4CF07C07" w14:textId="4A8F05AD" w:rsidR="00AE21A5" w:rsidRPr="008E37A0" w:rsidRDefault="00DF7D72" w:rsidP="00D54AF1">
      <w:pPr>
        <w:pStyle w:val="Corpo"/>
        <w:spacing w:after="120"/>
        <w:jc w:val="both"/>
        <w:rPr>
          <w:rStyle w:val="Nessuno"/>
          <w:sz w:val="22"/>
          <w:szCs w:val="22"/>
        </w:rPr>
      </w:pPr>
      <w:r w:rsidRPr="008E37A0">
        <w:rPr>
          <w:rStyle w:val="Nessuno"/>
          <w:sz w:val="22"/>
          <w:szCs w:val="22"/>
        </w:rPr>
        <w:t xml:space="preserve">The scope of the </w:t>
      </w:r>
      <w:r w:rsidR="004673FF" w:rsidRPr="008E37A0">
        <w:rPr>
          <w:rStyle w:val="Nessuno"/>
          <w:sz w:val="22"/>
          <w:szCs w:val="22"/>
        </w:rPr>
        <w:t>a</w:t>
      </w:r>
      <w:r w:rsidRPr="008E37A0">
        <w:rPr>
          <w:rStyle w:val="Nessuno"/>
          <w:sz w:val="22"/>
          <w:szCs w:val="22"/>
        </w:rPr>
        <w:t xml:space="preserve">ction will be clearly defined and agreed with the </w:t>
      </w:r>
      <w:r w:rsidR="002174FC" w:rsidRPr="008E37A0">
        <w:rPr>
          <w:sz w:val="22"/>
          <w:szCs w:val="22"/>
        </w:rPr>
        <w:t xml:space="preserve">MoIDPLHSA </w:t>
      </w:r>
      <w:r w:rsidRPr="008E37A0">
        <w:rPr>
          <w:rStyle w:val="Nessuno"/>
          <w:sz w:val="22"/>
          <w:szCs w:val="22"/>
        </w:rPr>
        <w:t>and the M</w:t>
      </w:r>
      <w:r w:rsidR="0026089B" w:rsidRPr="008E37A0">
        <w:rPr>
          <w:rStyle w:val="Nessuno"/>
          <w:sz w:val="22"/>
          <w:szCs w:val="22"/>
        </w:rPr>
        <w:t>o</w:t>
      </w:r>
      <w:r w:rsidRPr="008E37A0">
        <w:rPr>
          <w:rStyle w:val="Nessuno"/>
          <w:sz w:val="22"/>
          <w:szCs w:val="22"/>
        </w:rPr>
        <w:t xml:space="preserve">F in order to ensure their firm involvement in overseeing its implementation and that improvement can be measured especially with regards to the enactment and implementation of approved strategies and laws in the health sector. </w:t>
      </w:r>
      <w:r w:rsidR="00FD7945" w:rsidRPr="008E37A0">
        <w:rPr>
          <w:rStyle w:val="Nessuno"/>
          <w:sz w:val="22"/>
          <w:szCs w:val="22"/>
        </w:rPr>
        <w:t xml:space="preserve">Both </w:t>
      </w:r>
      <w:r w:rsidR="00ED0D6B" w:rsidRPr="008E37A0">
        <w:rPr>
          <w:rStyle w:val="Nessuno"/>
          <w:sz w:val="22"/>
          <w:szCs w:val="22"/>
        </w:rPr>
        <w:t>Ministries</w:t>
      </w:r>
      <w:r w:rsidR="00FD7945" w:rsidRPr="008E37A0">
        <w:rPr>
          <w:rStyle w:val="Nessuno"/>
          <w:sz w:val="22"/>
          <w:szCs w:val="22"/>
        </w:rPr>
        <w:t xml:space="preserve"> of Health and Finance</w:t>
      </w:r>
      <w:r w:rsidR="00126C8C" w:rsidRPr="008E37A0">
        <w:rPr>
          <w:rStyle w:val="Nessuno"/>
          <w:sz w:val="22"/>
          <w:szCs w:val="22"/>
        </w:rPr>
        <w:t xml:space="preserve">, their </w:t>
      </w:r>
      <w:r w:rsidR="00ED0D6B" w:rsidRPr="008E37A0">
        <w:rPr>
          <w:rStyle w:val="Nessuno"/>
          <w:sz w:val="22"/>
          <w:szCs w:val="22"/>
        </w:rPr>
        <w:t xml:space="preserve">relevant </w:t>
      </w:r>
      <w:r w:rsidR="00126C8C" w:rsidRPr="008E37A0">
        <w:rPr>
          <w:rStyle w:val="Nessuno"/>
          <w:sz w:val="22"/>
          <w:szCs w:val="22"/>
        </w:rPr>
        <w:t xml:space="preserve">subordinate authorities and agencies as well as </w:t>
      </w:r>
      <w:r w:rsidR="00ED0D6B" w:rsidRPr="008E37A0">
        <w:rPr>
          <w:rStyle w:val="Nessuno"/>
          <w:sz w:val="22"/>
          <w:szCs w:val="22"/>
        </w:rPr>
        <w:t>regional, district and local</w:t>
      </w:r>
      <w:r w:rsidR="00126C8C" w:rsidRPr="008E37A0">
        <w:rPr>
          <w:rStyle w:val="Nessuno"/>
          <w:sz w:val="22"/>
          <w:szCs w:val="22"/>
        </w:rPr>
        <w:t xml:space="preserve"> authorities</w:t>
      </w:r>
      <w:r w:rsidR="00ED0D6B" w:rsidRPr="008E37A0">
        <w:rPr>
          <w:rStyle w:val="Nessuno"/>
          <w:sz w:val="22"/>
          <w:szCs w:val="22"/>
        </w:rPr>
        <w:t xml:space="preserve"> </w:t>
      </w:r>
      <w:r w:rsidR="00126C8C" w:rsidRPr="008E37A0">
        <w:rPr>
          <w:rStyle w:val="Nessuno"/>
          <w:sz w:val="22"/>
          <w:szCs w:val="22"/>
        </w:rPr>
        <w:t xml:space="preserve">will be actively involved throughout the formulation of the </w:t>
      </w:r>
      <w:r w:rsidR="004673FF" w:rsidRPr="008E37A0">
        <w:rPr>
          <w:rStyle w:val="Nessuno"/>
          <w:sz w:val="22"/>
          <w:szCs w:val="22"/>
        </w:rPr>
        <w:t>a</w:t>
      </w:r>
      <w:r w:rsidR="00126C8C" w:rsidRPr="008E37A0">
        <w:rPr>
          <w:rStyle w:val="Nessuno"/>
          <w:sz w:val="22"/>
          <w:szCs w:val="22"/>
        </w:rPr>
        <w:t>ction to foste</w:t>
      </w:r>
      <w:r w:rsidR="00FD7945" w:rsidRPr="008E37A0">
        <w:rPr>
          <w:rStyle w:val="Nessuno"/>
          <w:sz w:val="22"/>
          <w:szCs w:val="22"/>
        </w:rPr>
        <w:t xml:space="preserve">r their ownership of the action. This also to secure </w:t>
      </w:r>
      <w:r w:rsidR="00126C8C" w:rsidRPr="008E37A0">
        <w:rPr>
          <w:rStyle w:val="Nessuno"/>
          <w:sz w:val="22"/>
          <w:szCs w:val="22"/>
        </w:rPr>
        <w:t>their engaged commitment to cross-sectoral collaboration and partnerships</w:t>
      </w:r>
      <w:r w:rsidR="00FD7945" w:rsidRPr="008E37A0">
        <w:rPr>
          <w:rStyle w:val="Nessuno"/>
          <w:sz w:val="22"/>
          <w:szCs w:val="22"/>
        </w:rPr>
        <w:t xml:space="preserve"> to tackle determinants of health </w:t>
      </w:r>
      <w:r w:rsidR="00ED0D6B" w:rsidRPr="008E37A0">
        <w:rPr>
          <w:rStyle w:val="Nessuno"/>
          <w:sz w:val="22"/>
          <w:szCs w:val="22"/>
        </w:rPr>
        <w:t>and the</w:t>
      </w:r>
      <w:r w:rsidR="00FD7945" w:rsidRPr="008E37A0">
        <w:rPr>
          <w:rStyle w:val="Nessuno"/>
          <w:sz w:val="22"/>
          <w:szCs w:val="22"/>
        </w:rPr>
        <w:t xml:space="preserve"> contr</w:t>
      </w:r>
      <w:r w:rsidR="00ED0D6B" w:rsidRPr="008E37A0">
        <w:rPr>
          <w:rStyle w:val="Nessuno"/>
          <w:sz w:val="22"/>
          <w:szCs w:val="22"/>
        </w:rPr>
        <w:t>ibution of this action toward</w:t>
      </w:r>
      <w:r w:rsidR="00FD7945" w:rsidRPr="008E37A0">
        <w:rPr>
          <w:rStyle w:val="Nessuno"/>
          <w:sz w:val="22"/>
          <w:szCs w:val="22"/>
        </w:rPr>
        <w:t xml:space="preserve"> addressing common priorities such as gender empowerment, health security, migration and climate change mitigation</w:t>
      </w:r>
      <w:r w:rsidR="004D0FDA" w:rsidRPr="008E37A0">
        <w:rPr>
          <w:rStyle w:val="Nessuno"/>
          <w:sz w:val="22"/>
          <w:szCs w:val="22"/>
        </w:rPr>
        <w:t xml:space="preserve"> </w:t>
      </w:r>
      <w:r w:rsidR="00ED0D6B" w:rsidRPr="008E37A0">
        <w:rPr>
          <w:rStyle w:val="Nessuno"/>
          <w:sz w:val="22"/>
          <w:szCs w:val="22"/>
        </w:rPr>
        <w:t>in parallel to</w:t>
      </w:r>
      <w:r w:rsidR="00FD7945" w:rsidRPr="008E37A0">
        <w:rPr>
          <w:rStyle w:val="Nessuno"/>
          <w:sz w:val="22"/>
          <w:szCs w:val="22"/>
        </w:rPr>
        <w:t xml:space="preserve"> strengthening the healthcare system's ability to respond to the health needs of the population. Throughout the implementation of the action, </w:t>
      </w:r>
      <w:r w:rsidR="00ED0D6B" w:rsidRPr="008E37A0">
        <w:rPr>
          <w:rStyle w:val="Nessuno"/>
          <w:sz w:val="22"/>
          <w:szCs w:val="22"/>
        </w:rPr>
        <w:t xml:space="preserve">progress and evaluation reports will be shared and consulted on with key national stakeholders who </w:t>
      </w:r>
      <w:r w:rsidR="00FD7945" w:rsidRPr="008E37A0">
        <w:rPr>
          <w:rStyle w:val="Nessuno"/>
          <w:sz w:val="22"/>
          <w:szCs w:val="22"/>
        </w:rPr>
        <w:t xml:space="preserve">will </w:t>
      </w:r>
      <w:r w:rsidR="00ED0D6B" w:rsidRPr="008E37A0">
        <w:rPr>
          <w:rStyle w:val="Nessuno"/>
          <w:sz w:val="22"/>
          <w:szCs w:val="22"/>
        </w:rPr>
        <w:t xml:space="preserve">also </w:t>
      </w:r>
      <w:r w:rsidR="00FD7945" w:rsidRPr="008E37A0">
        <w:rPr>
          <w:rStyle w:val="Nessuno"/>
          <w:sz w:val="22"/>
          <w:szCs w:val="22"/>
        </w:rPr>
        <w:t xml:space="preserve">be involved in the </w:t>
      </w:r>
      <w:r w:rsidR="00ED0D6B" w:rsidRPr="008E37A0">
        <w:rPr>
          <w:rStyle w:val="Nessuno"/>
          <w:sz w:val="22"/>
          <w:szCs w:val="22"/>
        </w:rPr>
        <w:t xml:space="preserve">action's </w:t>
      </w:r>
      <w:r w:rsidR="00FD7945" w:rsidRPr="008E37A0">
        <w:rPr>
          <w:rStyle w:val="Nessuno"/>
          <w:sz w:val="22"/>
          <w:szCs w:val="22"/>
        </w:rPr>
        <w:t xml:space="preserve">monitoring mechanism to inform </w:t>
      </w:r>
      <w:r w:rsidR="007C495A" w:rsidRPr="008E37A0">
        <w:rPr>
          <w:rStyle w:val="Nessuno"/>
          <w:sz w:val="22"/>
          <w:szCs w:val="22"/>
        </w:rPr>
        <w:t>its</w:t>
      </w:r>
      <w:r w:rsidR="00FD7945" w:rsidRPr="008E37A0">
        <w:rPr>
          <w:rStyle w:val="Nessuno"/>
          <w:sz w:val="22"/>
          <w:szCs w:val="22"/>
        </w:rPr>
        <w:t xml:space="preserve"> steering. </w:t>
      </w:r>
    </w:p>
    <w:p w14:paraId="4DCE29DA" w14:textId="185324E7" w:rsidR="003C2B38" w:rsidRPr="008E37A0" w:rsidRDefault="003C2B38" w:rsidP="0097546E">
      <w:pPr>
        <w:pStyle w:val="Text1"/>
        <w:spacing w:before="0" w:after="0"/>
        <w:ind w:left="0"/>
        <w:rPr>
          <w:sz w:val="22"/>
          <w:szCs w:val="22"/>
          <w:lang w:val="en-GB"/>
        </w:rPr>
      </w:pPr>
      <w:r w:rsidRPr="008E37A0">
        <w:rPr>
          <w:sz w:val="22"/>
          <w:szCs w:val="22"/>
          <w:lang w:val="en-GB"/>
        </w:rPr>
        <w:t xml:space="preserve">During the implementation of </w:t>
      </w:r>
      <w:r w:rsidR="002174FC" w:rsidRPr="008E37A0">
        <w:rPr>
          <w:sz w:val="22"/>
          <w:szCs w:val="22"/>
          <w:lang w:val="en-GB"/>
        </w:rPr>
        <w:t xml:space="preserve">the </w:t>
      </w:r>
      <w:r w:rsidR="003425B8">
        <w:rPr>
          <w:sz w:val="22"/>
          <w:szCs w:val="22"/>
          <w:lang w:val="en-GB"/>
        </w:rPr>
        <w:t>action</w:t>
      </w:r>
      <w:r w:rsidRPr="008E37A0">
        <w:rPr>
          <w:sz w:val="22"/>
          <w:szCs w:val="22"/>
          <w:lang w:val="en-GB"/>
        </w:rPr>
        <w:t xml:space="preserve"> use of visibility materials shall be ensured according to the EU visibility guidelines. Press releases shall be translated into </w:t>
      </w:r>
      <w:r w:rsidR="002174FC" w:rsidRPr="008E37A0">
        <w:rPr>
          <w:sz w:val="22"/>
          <w:szCs w:val="22"/>
          <w:lang w:val="en-GB"/>
        </w:rPr>
        <w:t xml:space="preserve">Georgian and English </w:t>
      </w:r>
      <w:r w:rsidRPr="008E37A0">
        <w:rPr>
          <w:sz w:val="22"/>
          <w:szCs w:val="22"/>
          <w:lang w:val="en-GB"/>
        </w:rPr>
        <w:t xml:space="preserve">languages and made available at the official website of the EU Delegation to </w:t>
      </w:r>
      <w:r w:rsidR="002174FC" w:rsidRPr="008E37A0">
        <w:rPr>
          <w:sz w:val="22"/>
          <w:szCs w:val="22"/>
          <w:lang w:val="en-GB"/>
        </w:rPr>
        <w:t>Georgia</w:t>
      </w:r>
      <w:r w:rsidRPr="008E37A0">
        <w:rPr>
          <w:sz w:val="22"/>
          <w:szCs w:val="22"/>
          <w:lang w:val="en-GB"/>
        </w:rPr>
        <w:t>.</w:t>
      </w:r>
    </w:p>
    <w:p w14:paraId="78AEFF80" w14:textId="1838663E" w:rsidR="00AE21A5" w:rsidRPr="008E37A0" w:rsidRDefault="00A400C9" w:rsidP="00D54AF1">
      <w:pPr>
        <w:pStyle w:val="Intestazione2"/>
        <w:ind w:left="0" w:firstLine="0"/>
        <w:rPr>
          <w:lang w:val="en-GB"/>
        </w:rPr>
      </w:pPr>
      <w:r w:rsidRPr="008E37A0">
        <w:rPr>
          <w:lang w:val="en-GB"/>
        </w:rPr>
        <w:t xml:space="preserve">4.2 </w:t>
      </w:r>
      <w:r w:rsidRPr="008E37A0">
        <w:rPr>
          <w:lang w:val="en-GB"/>
        </w:rPr>
        <w:tab/>
      </w:r>
      <w:r w:rsidR="00DF7D72" w:rsidRPr="008E37A0">
        <w:rPr>
          <w:lang w:val="en-GB"/>
        </w:rPr>
        <w:t>Intervention Logic</w:t>
      </w:r>
      <w:r w:rsidR="003F73F7" w:rsidRPr="008E37A0">
        <w:rPr>
          <w:lang w:val="en-GB"/>
        </w:rPr>
        <w:t xml:space="preserve"> </w:t>
      </w:r>
    </w:p>
    <w:p w14:paraId="6B5B3651" w14:textId="1618A70D" w:rsidR="00461582" w:rsidRPr="008E37A0" w:rsidRDefault="00CA1150" w:rsidP="00E85EFF">
      <w:pPr>
        <w:pStyle w:val="Corpo"/>
        <w:spacing w:after="120"/>
        <w:jc w:val="both"/>
        <w:rPr>
          <w:rStyle w:val="Nessuno"/>
          <w:sz w:val="22"/>
          <w:szCs w:val="22"/>
        </w:rPr>
      </w:pPr>
      <w:r w:rsidRPr="008E37A0">
        <w:t>T</w:t>
      </w:r>
      <w:r w:rsidRPr="008E37A0">
        <w:rPr>
          <w:rStyle w:val="Nessuno"/>
          <w:sz w:val="22"/>
          <w:szCs w:val="22"/>
        </w:rPr>
        <w:t xml:space="preserve">his </w:t>
      </w:r>
      <w:r w:rsidR="004673FF" w:rsidRPr="008E37A0">
        <w:rPr>
          <w:rStyle w:val="Nessuno"/>
          <w:sz w:val="22"/>
          <w:szCs w:val="22"/>
        </w:rPr>
        <w:t>a</w:t>
      </w:r>
      <w:r w:rsidRPr="008E37A0">
        <w:rPr>
          <w:rStyle w:val="Nessuno"/>
          <w:sz w:val="22"/>
          <w:szCs w:val="22"/>
        </w:rPr>
        <w:t xml:space="preserve">ction proposes a project approach. It is </w:t>
      </w:r>
      <w:r w:rsidR="005F1613" w:rsidRPr="008E37A0">
        <w:rPr>
          <w:rStyle w:val="Nessuno"/>
          <w:sz w:val="22"/>
          <w:szCs w:val="22"/>
        </w:rPr>
        <w:t xml:space="preserve">aligned with </w:t>
      </w:r>
      <w:r w:rsidRPr="008E37A0">
        <w:rPr>
          <w:rStyle w:val="Nessuno"/>
          <w:sz w:val="22"/>
          <w:szCs w:val="22"/>
        </w:rPr>
        <w:t xml:space="preserve">the </w:t>
      </w:r>
      <w:r w:rsidR="005F1613" w:rsidRPr="008E37A0">
        <w:rPr>
          <w:rStyle w:val="Nessuno"/>
          <w:sz w:val="22"/>
          <w:szCs w:val="22"/>
        </w:rPr>
        <w:t xml:space="preserve">strategic objectives and priorities set by MoIDPLHSA for </w:t>
      </w:r>
      <w:r w:rsidRPr="008E37A0">
        <w:rPr>
          <w:rStyle w:val="Nessuno"/>
          <w:sz w:val="22"/>
          <w:szCs w:val="22"/>
        </w:rPr>
        <w:t xml:space="preserve">Health Systems Strengthening </w:t>
      </w:r>
      <w:r w:rsidR="005F1613" w:rsidRPr="008E37A0">
        <w:rPr>
          <w:rStyle w:val="Nessuno"/>
          <w:sz w:val="22"/>
          <w:szCs w:val="22"/>
        </w:rPr>
        <w:t xml:space="preserve">in Georgia </w:t>
      </w:r>
      <w:r w:rsidRPr="008E37A0">
        <w:rPr>
          <w:rStyle w:val="Nessuno"/>
          <w:sz w:val="22"/>
          <w:szCs w:val="22"/>
        </w:rPr>
        <w:t xml:space="preserve">and aims to have a nationwide impact. </w:t>
      </w:r>
      <w:r w:rsidR="00DF7D72" w:rsidRPr="008E37A0">
        <w:rPr>
          <w:rStyle w:val="Nessuno"/>
          <w:sz w:val="22"/>
          <w:szCs w:val="22"/>
        </w:rPr>
        <w:t xml:space="preserve">The </w:t>
      </w:r>
      <w:r w:rsidR="005F1613" w:rsidRPr="008E37A0">
        <w:rPr>
          <w:rStyle w:val="Nessuno"/>
          <w:sz w:val="22"/>
          <w:szCs w:val="22"/>
        </w:rPr>
        <w:t>action</w:t>
      </w:r>
      <w:r w:rsidR="002E189C" w:rsidRPr="008E37A0">
        <w:rPr>
          <w:rStyle w:val="Nessuno"/>
          <w:sz w:val="22"/>
          <w:szCs w:val="22"/>
        </w:rPr>
        <w:t xml:space="preserve"> </w:t>
      </w:r>
      <w:r w:rsidR="00DF7D72" w:rsidRPr="008E37A0">
        <w:rPr>
          <w:rStyle w:val="Nessuno"/>
          <w:sz w:val="22"/>
          <w:szCs w:val="22"/>
        </w:rPr>
        <w:t xml:space="preserve">therefore </w:t>
      </w:r>
      <w:r w:rsidR="00BC3A70" w:rsidRPr="008E37A0">
        <w:rPr>
          <w:rStyle w:val="Nessuno"/>
          <w:sz w:val="22"/>
          <w:szCs w:val="22"/>
        </w:rPr>
        <w:t xml:space="preserve">aims to </w:t>
      </w:r>
      <w:r w:rsidR="00DF7D72" w:rsidRPr="008E37A0">
        <w:rPr>
          <w:rStyle w:val="Nessuno"/>
          <w:sz w:val="22"/>
          <w:szCs w:val="22"/>
        </w:rPr>
        <w:t xml:space="preserve">strengthen the leadership role of the </w:t>
      </w:r>
      <w:r w:rsidR="005F1613" w:rsidRPr="008E37A0">
        <w:rPr>
          <w:rStyle w:val="Nessuno"/>
          <w:sz w:val="22"/>
          <w:szCs w:val="22"/>
        </w:rPr>
        <w:t xml:space="preserve">MoIDPLHSA </w:t>
      </w:r>
      <w:r w:rsidR="00DF7D72" w:rsidRPr="008E37A0">
        <w:rPr>
          <w:rStyle w:val="Nessuno"/>
          <w:sz w:val="22"/>
          <w:szCs w:val="22"/>
        </w:rPr>
        <w:t xml:space="preserve">in policymaking and in coordinating the various programmes contributing to the health reform to ensure alignment, aid effectiveness and avoid duplication and </w:t>
      </w:r>
      <w:r w:rsidR="00126C8C" w:rsidRPr="008E37A0">
        <w:rPr>
          <w:rStyle w:val="Nessuno"/>
          <w:sz w:val="22"/>
          <w:szCs w:val="22"/>
        </w:rPr>
        <w:t xml:space="preserve">bolster the implementation of government approved strategies in order to limit the risk of restricted impact to a selected part of the population. The scope of the action will also support the </w:t>
      </w:r>
      <w:r w:rsidR="005F1613" w:rsidRPr="008E37A0">
        <w:rPr>
          <w:rStyle w:val="Nessuno"/>
          <w:sz w:val="22"/>
          <w:szCs w:val="22"/>
        </w:rPr>
        <w:t xml:space="preserve">subnational </w:t>
      </w:r>
      <w:r w:rsidR="00126C8C" w:rsidRPr="008E37A0">
        <w:rPr>
          <w:rStyle w:val="Nessuno"/>
          <w:sz w:val="22"/>
          <w:szCs w:val="22"/>
        </w:rPr>
        <w:t xml:space="preserve">authorities in the implementation of the health sector reforms with a specific focus on improving quality and accessibility of PHC services. </w:t>
      </w:r>
      <w:r w:rsidR="00DF7D72" w:rsidRPr="008E37A0">
        <w:rPr>
          <w:rStyle w:val="Nessuno"/>
          <w:sz w:val="22"/>
          <w:szCs w:val="22"/>
        </w:rPr>
        <w:t xml:space="preserve">Furthermore, the action will be based on interventions that have </w:t>
      </w:r>
      <w:r w:rsidR="005F1613" w:rsidRPr="008E37A0">
        <w:rPr>
          <w:rStyle w:val="Nessuno"/>
          <w:sz w:val="22"/>
          <w:szCs w:val="22"/>
        </w:rPr>
        <w:t xml:space="preserve">been </w:t>
      </w:r>
      <w:r w:rsidR="00DF7D72" w:rsidRPr="008E37A0">
        <w:rPr>
          <w:rStyle w:val="Nessuno"/>
          <w:sz w:val="22"/>
          <w:szCs w:val="22"/>
        </w:rPr>
        <w:t>prove</w:t>
      </w:r>
      <w:r w:rsidR="005F1613" w:rsidRPr="008E37A0">
        <w:rPr>
          <w:rStyle w:val="Nessuno"/>
          <w:sz w:val="22"/>
          <w:szCs w:val="22"/>
        </w:rPr>
        <w:t xml:space="preserve">d and applied </w:t>
      </w:r>
      <w:r w:rsidR="00DF7D72" w:rsidRPr="008E37A0">
        <w:rPr>
          <w:rStyle w:val="Nessuno"/>
          <w:sz w:val="22"/>
          <w:szCs w:val="22"/>
        </w:rPr>
        <w:t>successful</w:t>
      </w:r>
      <w:r w:rsidR="005F1613" w:rsidRPr="008E37A0">
        <w:rPr>
          <w:rStyle w:val="Nessuno"/>
          <w:sz w:val="22"/>
          <w:szCs w:val="22"/>
        </w:rPr>
        <w:t>ly</w:t>
      </w:r>
      <w:r w:rsidR="00DF7D72" w:rsidRPr="008E37A0">
        <w:rPr>
          <w:rStyle w:val="Nessuno"/>
          <w:sz w:val="22"/>
          <w:szCs w:val="22"/>
        </w:rPr>
        <w:t xml:space="preserve"> in </w:t>
      </w:r>
      <w:r w:rsidR="005F1613" w:rsidRPr="008E37A0">
        <w:rPr>
          <w:rStyle w:val="Nessuno"/>
          <w:sz w:val="22"/>
          <w:szCs w:val="22"/>
        </w:rPr>
        <w:t>Georgia</w:t>
      </w:r>
      <w:r w:rsidR="00DF7D72" w:rsidRPr="008E37A0">
        <w:rPr>
          <w:rStyle w:val="Nessuno"/>
          <w:sz w:val="22"/>
          <w:szCs w:val="22"/>
        </w:rPr>
        <w:t xml:space="preserve"> and/or other countries, based on research </w:t>
      </w:r>
      <w:r w:rsidR="005F1613" w:rsidRPr="008E37A0">
        <w:rPr>
          <w:rStyle w:val="Nessuno"/>
          <w:sz w:val="22"/>
          <w:szCs w:val="22"/>
        </w:rPr>
        <w:t>and evidence</w:t>
      </w:r>
      <w:r w:rsidR="00DF7D72" w:rsidRPr="008E37A0">
        <w:rPr>
          <w:rStyle w:val="Nessuno"/>
          <w:sz w:val="22"/>
          <w:szCs w:val="22"/>
        </w:rPr>
        <w:t>.</w:t>
      </w:r>
      <w:r w:rsidR="0088295F" w:rsidRPr="008E37A0">
        <w:rPr>
          <w:rStyle w:val="Nessuno"/>
          <w:sz w:val="22"/>
          <w:szCs w:val="22"/>
        </w:rPr>
        <w:t xml:space="preserve">   </w:t>
      </w:r>
    </w:p>
    <w:p w14:paraId="279EFA2A" w14:textId="43D30AA1" w:rsidR="00AE21A5" w:rsidRPr="008E37A0" w:rsidRDefault="00126C8C" w:rsidP="00D54AF1">
      <w:pPr>
        <w:pStyle w:val="Corpo"/>
        <w:spacing w:after="120"/>
        <w:jc w:val="both"/>
        <w:rPr>
          <w:sz w:val="22"/>
          <w:szCs w:val="22"/>
        </w:rPr>
      </w:pPr>
      <w:r w:rsidRPr="008E37A0">
        <w:rPr>
          <w:rStyle w:val="Nessuno"/>
          <w:sz w:val="22"/>
          <w:szCs w:val="22"/>
        </w:rPr>
        <w:t xml:space="preserve">The scope of complementarity of this action with tested best practices in the sector and in cross-sectoral collaboration will be further defined and developed throughout the formulation phase of the action in consultation with the government counterparts and development partners. Implementing partners of the </w:t>
      </w:r>
      <w:r w:rsidR="004673FF" w:rsidRPr="008E37A0">
        <w:rPr>
          <w:rStyle w:val="Nessuno"/>
          <w:sz w:val="22"/>
          <w:szCs w:val="22"/>
        </w:rPr>
        <w:t>a</w:t>
      </w:r>
      <w:r w:rsidRPr="008E37A0">
        <w:rPr>
          <w:rStyle w:val="Nessuno"/>
          <w:sz w:val="22"/>
          <w:szCs w:val="22"/>
        </w:rPr>
        <w:t>ction will be expected to substantiate their project design with needs assessments and feasibility studies.</w:t>
      </w:r>
      <w:r w:rsidR="00C56C5C" w:rsidRPr="008E37A0">
        <w:rPr>
          <w:rStyle w:val="Nessuno"/>
          <w:sz w:val="22"/>
          <w:szCs w:val="22"/>
        </w:rPr>
        <w:t xml:space="preserve"> </w:t>
      </w:r>
      <w:r w:rsidRPr="008E37A0">
        <w:rPr>
          <w:rStyle w:val="Nessuno"/>
          <w:sz w:val="22"/>
          <w:szCs w:val="22"/>
        </w:rPr>
        <w:t xml:space="preserve"> </w:t>
      </w:r>
    </w:p>
    <w:p w14:paraId="47325F69" w14:textId="3B6407AE" w:rsidR="00AE21A5" w:rsidRPr="008E37A0" w:rsidRDefault="00217C78" w:rsidP="00AE677E">
      <w:pPr>
        <w:pStyle w:val="Corpo"/>
        <w:spacing w:after="240"/>
        <w:jc w:val="both"/>
        <w:rPr>
          <w:sz w:val="22"/>
          <w:szCs w:val="22"/>
        </w:rPr>
      </w:pPr>
      <w:r w:rsidRPr="008E37A0">
        <w:rPr>
          <w:rStyle w:val="Nessuno"/>
          <w:sz w:val="22"/>
          <w:szCs w:val="22"/>
        </w:rPr>
        <w:t>T</w:t>
      </w:r>
      <w:r w:rsidR="00DF7D72" w:rsidRPr="008E37A0">
        <w:rPr>
          <w:rStyle w:val="Nessuno"/>
          <w:sz w:val="22"/>
          <w:szCs w:val="22"/>
        </w:rPr>
        <w:t xml:space="preserve">he </w:t>
      </w:r>
      <w:r w:rsidR="004673FF" w:rsidRPr="008E37A0">
        <w:rPr>
          <w:rStyle w:val="Nessuno"/>
          <w:sz w:val="22"/>
          <w:szCs w:val="22"/>
        </w:rPr>
        <w:t>a</w:t>
      </w:r>
      <w:r w:rsidR="00FA6A9A" w:rsidRPr="008E37A0">
        <w:rPr>
          <w:rStyle w:val="Nessuno"/>
          <w:sz w:val="22"/>
          <w:szCs w:val="22"/>
        </w:rPr>
        <w:t>ction</w:t>
      </w:r>
      <w:r w:rsidR="00DF7D72" w:rsidRPr="008E37A0">
        <w:rPr>
          <w:rStyle w:val="Nessuno"/>
          <w:sz w:val="22"/>
          <w:szCs w:val="22"/>
        </w:rPr>
        <w:t xml:space="preserve"> will collaborate with the WHO in coordinating and facilitating the overall policy dialogue with the </w:t>
      </w:r>
      <w:r w:rsidR="005F1613" w:rsidRPr="008E37A0">
        <w:rPr>
          <w:rStyle w:val="Nessuno"/>
          <w:sz w:val="22"/>
          <w:szCs w:val="22"/>
        </w:rPr>
        <w:t xml:space="preserve">MoIDPLHSA </w:t>
      </w:r>
      <w:r w:rsidR="00DF7D72" w:rsidRPr="008E37A0">
        <w:rPr>
          <w:rStyle w:val="Nessuno"/>
          <w:sz w:val="22"/>
          <w:szCs w:val="22"/>
        </w:rPr>
        <w:t xml:space="preserve">and </w:t>
      </w:r>
      <w:r w:rsidR="00C56C5C" w:rsidRPr="008E37A0">
        <w:rPr>
          <w:rStyle w:val="Nessuno"/>
          <w:sz w:val="22"/>
          <w:szCs w:val="22"/>
        </w:rPr>
        <w:t xml:space="preserve">the </w:t>
      </w:r>
      <w:r w:rsidR="00DF7D72" w:rsidRPr="008E37A0">
        <w:rPr>
          <w:rStyle w:val="Nessuno"/>
          <w:sz w:val="22"/>
          <w:szCs w:val="22"/>
        </w:rPr>
        <w:t>M</w:t>
      </w:r>
      <w:r w:rsidR="0026089B" w:rsidRPr="008E37A0">
        <w:rPr>
          <w:rStyle w:val="Nessuno"/>
          <w:sz w:val="22"/>
          <w:szCs w:val="22"/>
        </w:rPr>
        <w:t>o</w:t>
      </w:r>
      <w:r w:rsidR="00DF7D72" w:rsidRPr="008E37A0">
        <w:rPr>
          <w:rStyle w:val="Nessuno"/>
          <w:sz w:val="22"/>
          <w:szCs w:val="22"/>
        </w:rPr>
        <w:t xml:space="preserve">F to strengthen overall health systems in order to achieve UHC. </w:t>
      </w:r>
      <w:r w:rsidR="006E33D3" w:rsidRPr="008E37A0">
        <w:rPr>
          <w:sz w:val="22"/>
          <w:szCs w:val="22"/>
        </w:rPr>
        <w:t xml:space="preserve">Within the </w:t>
      </w:r>
      <w:r w:rsidR="00FA6A9A" w:rsidRPr="008E37A0">
        <w:rPr>
          <w:sz w:val="22"/>
          <w:szCs w:val="22"/>
        </w:rPr>
        <w:t xml:space="preserve">programme </w:t>
      </w:r>
      <w:r w:rsidR="006E33D3" w:rsidRPr="008E37A0">
        <w:rPr>
          <w:sz w:val="22"/>
          <w:szCs w:val="22"/>
        </w:rPr>
        <w:t xml:space="preserve">implementation framework, </w:t>
      </w:r>
      <w:r w:rsidR="00FA6A9A" w:rsidRPr="008E37A0">
        <w:rPr>
          <w:sz w:val="22"/>
          <w:szCs w:val="22"/>
        </w:rPr>
        <w:t>WHO being</w:t>
      </w:r>
      <w:r w:rsidR="006E33D3" w:rsidRPr="008E37A0">
        <w:rPr>
          <w:sz w:val="22"/>
          <w:szCs w:val="22"/>
        </w:rPr>
        <w:t xml:space="preserve"> responsible for </w:t>
      </w:r>
      <w:r w:rsidR="006B6FC9" w:rsidRPr="008E37A0">
        <w:rPr>
          <w:sz w:val="22"/>
          <w:szCs w:val="22"/>
        </w:rPr>
        <w:t>C</w:t>
      </w:r>
      <w:r w:rsidR="006E33D3" w:rsidRPr="008E37A0">
        <w:rPr>
          <w:sz w:val="22"/>
          <w:szCs w:val="22"/>
        </w:rPr>
        <w:t xml:space="preserve">omponent 1 is </w:t>
      </w:r>
      <w:r w:rsidR="006E33D3" w:rsidRPr="008E37A0">
        <w:rPr>
          <w:sz w:val="22"/>
          <w:szCs w:val="22"/>
        </w:rPr>
        <w:lastRenderedPageBreak/>
        <w:t xml:space="preserve">envisaged to play a core programme wide coordination role and knowledge management function. Such coordination is to be clearly defined, designed and operationalised by </w:t>
      </w:r>
      <w:r w:rsidR="00FA6A9A" w:rsidRPr="008E37A0">
        <w:rPr>
          <w:sz w:val="22"/>
          <w:szCs w:val="22"/>
        </w:rPr>
        <w:t xml:space="preserve">the other </w:t>
      </w:r>
      <w:r w:rsidR="006E33D3" w:rsidRPr="008E37A0">
        <w:rPr>
          <w:sz w:val="22"/>
          <w:szCs w:val="22"/>
        </w:rPr>
        <w:t>implementing parties</w:t>
      </w:r>
      <w:r w:rsidR="00FA6A9A" w:rsidRPr="008E37A0">
        <w:rPr>
          <w:sz w:val="22"/>
          <w:szCs w:val="22"/>
        </w:rPr>
        <w:t>, too</w:t>
      </w:r>
      <w:r w:rsidR="006E33D3" w:rsidRPr="008E37A0">
        <w:rPr>
          <w:sz w:val="22"/>
          <w:szCs w:val="22"/>
        </w:rPr>
        <w:t xml:space="preserve">. This coordination mechanism is to ensure that complementarity and synergy achieved within the </w:t>
      </w:r>
      <w:r w:rsidR="00FA6A9A" w:rsidRPr="008E37A0">
        <w:rPr>
          <w:sz w:val="22"/>
          <w:szCs w:val="22"/>
        </w:rPr>
        <w:t>p</w:t>
      </w:r>
      <w:r w:rsidR="006E33D3" w:rsidRPr="008E37A0">
        <w:rPr>
          <w:sz w:val="22"/>
          <w:szCs w:val="22"/>
        </w:rPr>
        <w:t xml:space="preserve">rogramme itself, </w:t>
      </w:r>
      <w:r w:rsidR="00FA6A9A" w:rsidRPr="008E37A0">
        <w:rPr>
          <w:sz w:val="22"/>
          <w:szCs w:val="22"/>
        </w:rPr>
        <w:t>and</w:t>
      </w:r>
      <w:r w:rsidR="006E33D3" w:rsidRPr="008E37A0">
        <w:rPr>
          <w:sz w:val="22"/>
          <w:szCs w:val="22"/>
        </w:rPr>
        <w:t xml:space="preserve"> all </w:t>
      </w:r>
      <w:r w:rsidR="00A12BDE" w:rsidRPr="008E37A0">
        <w:rPr>
          <w:sz w:val="22"/>
          <w:szCs w:val="22"/>
        </w:rPr>
        <w:t>cross-cutting</w:t>
      </w:r>
      <w:r w:rsidR="006E33D3" w:rsidRPr="008E37A0">
        <w:rPr>
          <w:sz w:val="22"/>
          <w:szCs w:val="22"/>
        </w:rPr>
        <w:t xml:space="preserve"> interventions to be identified at the early stage (e.g. training and capacity building) have joint planning, well-coordinated implementation process. </w:t>
      </w:r>
    </w:p>
    <w:p w14:paraId="7283251F" w14:textId="2DD05B73" w:rsidR="00AE21A5" w:rsidRPr="008E37A0" w:rsidRDefault="002F55E3" w:rsidP="00AE677E">
      <w:pPr>
        <w:pStyle w:val="Corpo"/>
        <w:spacing w:after="240"/>
        <w:jc w:val="both"/>
        <w:rPr>
          <w:rStyle w:val="Nessuno"/>
          <w:sz w:val="22"/>
          <w:szCs w:val="22"/>
        </w:rPr>
      </w:pPr>
      <w:r w:rsidRPr="008E37A0">
        <w:rPr>
          <w:rStyle w:val="Nessuno"/>
          <w:sz w:val="22"/>
          <w:szCs w:val="22"/>
        </w:rPr>
        <w:t>The intervention logic for th</w:t>
      </w:r>
      <w:r w:rsidR="001753E0" w:rsidRPr="008E37A0">
        <w:rPr>
          <w:rStyle w:val="Nessuno"/>
          <w:sz w:val="22"/>
          <w:szCs w:val="22"/>
        </w:rPr>
        <w:t xml:space="preserve">e </w:t>
      </w:r>
      <w:r w:rsidR="003425B8">
        <w:rPr>
          <w:rStyle w:val="Nessuno"/>
          <w:sz w:val="22"/>
          <w:szCs w:val="22"/>
        </w:rPr>
        <w:t>action</w:t>
      </w:r>
      <w:r w:rsidR="00DF7D72" w:rsidRPr="008E37A0">
        <w:rPr>
          <w:rStyle w:val="Nessuno"/>
          <w:sz w:val="22"/>
          <w:szCs w:val="22"/>
        </w:rPr>
        <w:t xml:space="preserve"> designed through </w:t>
      </w:r>
      <w:r w:rsidR="002E189C" w:rsidRPr="008E37A0">
        <w:rPr>
          <w:rStyle w:val="Nessuno"/>
          <w:sz w:val="22"/>
          <w:szCs w:val="22"/>
        </w:rPr>
        <w:t xml:space="preserve">three </w:t>
      </w:r>
      <w:r w:rsidR="00250B43" w:rsidRPr="008E37A0">
        <w:rPr>
          <w:rStyle w:val="Nessuno"/>
          <w:sz w:val="22"/>
          <w:szCs w:val="22"/>
        </w:rPr>
        <w:t>r</w:t>
      </w:r>
      <w:r w:rsidR="00CC5D68" w:rsidRPr="008E37A0">
        <w:rPr>
          <w:rStyle w:val="Nessuno"/>
          <w:sz w:val="22"/>
          <w:szCs w:val="22"/>
        </w:rPr>
        <w:t>esult areas</w:t>
      </w:r>
      <w:r w:rsidR="00F33D7F" w:rsidRPr="008E37A0">
        <w:rPr>
          <w:rStyle w:val="Nessuno"/>
          <w:sz w:val="22"/>
          <w:szCs w:val="22"/>
        </w:rPr>
        <w:t xml:space="preserve"> (</w:t>
      </w:r>
      <w:r w:rsidR="006B6FC9" w:rsidRPr="008E37A0">
        <w:rPr>
          <w:rStyle w:val="Nessuno"/>
          <w:sz w:val="22"/>
          <w:szCs w:val="22"/>
        </w:rPr>
        <w:t>O</w:t>
      </w:r>
      <w:r w:rsidR="00F33D7F" w:rsidRPr="008E37A0">
        <w:rPr>
          <w:rStyle w:val="Nessuno"/>
          <w:sz w:val="22"/>
          <w:szCs w:val="22"/>
        </w:rPr>
        <w:t>utcomes 1-3)</w:t>
      </w:r>
      <w:r w:rsidR="00CC5D68" w:rsidRPr="008E37A0">
        <w:rPr>
          <w:rStyle w:val="Nessuno"/>
          <w:sz w:val="22"/>
          <w:szCs w:val="22"/>
        </w:rPr>
        <w:t xml:space="preserve"> and </w:t>
      </w:r>
      <w:r w:rsidR="008A3F71" w:rsidRPr="008E37A0">
        <w:rPr>
          <w:rStyle w:val="Nessuno"/>
          <w:sz w:val="22"/>
          <w:szCs w:val="22"/>
        </w:rPr>
        <w:t xml:space="preserve">seven </w:t>
      </w:r>
      <w:r w:rsidR="00CC5D68" w:rsidRPr="008E37A0">
        <w:rPr>
          <w:rStyle w:val="Nessuno"/>
          <w:sz w:val="22"/>
          <w:szCs w:val="22"/>
        </w:rPr>
        <w:t xml:space="preserve">corresponding </w:t>
      </w:r>
      <w:r w:rsidR="006B6FC9" w:rsidRPr="008E37A0">
        <w:rPr>
          <w:rStyle w:val="Nessuno"/>
          <w:sz w:val="22"/>
          <w:szCs w:val="22"/>
        </w:rPr>
        <w:t>O</w:t>
      </w:r>
      <w:r w:rsidR="00CB6BEF" w:rsidRPr="008E37A0">
        <w:rPr>
          <w:rStyle w:val="Nessuno"/>
          <w:sz w:val="22"/>
          <w:szCs w:val="22"/>
        </w:rPr>
        <w:t>utputs</w:t>
      </w:r>
      <w:r w:rsidRPr="008E37A0">
        <w:rPr>
          <w:rStyle w:val="Nessuno"/>
          <w:sz w:val="22"/>
          <w:szCs w:val="22"/>
        </w:rPr>
        <w:t xml:space="preserve"> </w:t>
      </w:r>
      <w:r w:rsidR="00062CAD" w:rsidRPr="008E37A0">
        <w:rPr>
          <w:rStyle w:val="Nessuno"/>
          <w:sz w:val="22"/>
          <w:szCs w:val="22"/>
        </w:rPr>
        <w:t xml:space="preserve">described below. </w:t>
      </w:r>
      <w:r w:rsidR="00DF7D72" w:rsidRPr="008E37A0">
        <w:rPr>
          <w:rStyle w:val="Nessuno"/>
          <w:sz w:val="22"/>
          <w:szCs w:val="22"/>
        </w:rPr>
        <w:t xml:space="preserve"> </w:t>
      </w:r>
    </w:p>
    <w:p w14:paraId="78BF1DF9" w14:textId="2AA6BAAA" w:rsidR="00062CAD" w:rsidRPr="008E37A0" w:rsidRDefault="009C50F1" w:rsidP="00062CAD">
      <w:pPr>
        <w:pStyle w:val="Corpo"/>
        <w:spacing w:after="120"/>
        <w:jc w:val="both"/>
        <w:rPr>
          <w:rStyle w:val="Nessuno"/>
          <w:b/>
          <w:bCs/>
          <w:i/>
          <w:iCs/>
        </w:rPr>
      </w:pPr>
      <w:r w:rsidRPr="008E37A0">
        <w:rPr>
          <w:rStyle w:val="Nessuno"/>
          <w:b/>
          <w:i/>
          <w:sz w:val="22"/>
          <w:szCs w:val="22"/>
        </w:rPr>
        <w:t>SO/</w:t>
      </w:r>
      <w:r w:rsidR="00CB6BEF" w:rsidRPr="008E37A0">
        <w:rPr>
          <w:rStyle w:val="Nessuno"/>
          <w:b/>
          <w:bCs/>
          <w:i/>
          <w:iCs/>
          <w:sz w:val="22"/>
          <w:szCs w:val="22"/>
        </w:rPr>
        <w:t>Out</w:t>
      </w:r>
      <w:r w:rsidR="008A3F71" w:rsidRPr="008E37A0">
        <w:rPr>
          <w:rStyle w:val="Nessuno"/>
          <w:b/>
          <w:bCs/>
          <w:i/>
          <w:iCs/>
          <w:sz w:val="22"/>
          <w:szCs w:val="22"/>
        </w:rPr>
        <w:t>c</w:t>
      </w:r>
      <w:r w:rsidR="00062CAD" w:rsidRPr="008E37A0">
        <w:rPr>
          <w:rStyle w:val="Nessuno"/>
          <w:b/>
          <w:bCs/>
          <w:i/>
          <w:iCs/>
          <w:sz w:val="22"/>
          <w:szCs w:val="22"/>
        </w:rPr>
        <w:t xml:space="preserve">ome </w:t>
      </w:r>
      <w:r w:rsidR="00DF7D72" w:rsidRPr="008E37A0">
        <w:rPr>
          <w:rStyle w:val="Nessuno"/>
          <w:b/>
          <w:bCs/>
          <w:i/>
          <w:iCs/>
          <w:sz w:val="22"/>
          <w:szCs w:val="22"/>
        </w:rPr>
        <w:t xml:space="preserve">1: </w:t>
      </w:r>
      <w:r w:rsidR="0075774B" w:rsidRPr="008E37A0">
        <w:rPr>
          <w:rFonts w:eastAsia="Arial Unicode MS"/>
          <w:color w:val="auto"/>
          <w:sz w:val="22"/>
          <w:szCs w:val="22"/>
          <w:lang w:eastAsia="en-US"/>
        </w:rPr>
        <w:t xml:space="preserve"> </w:t>
      </w:r>
      <w:r w:rsidR="00FA6A9A" w:rsidRPr="008E37A0">
        <w:rPr>
          <w:b/>
          <w:bCs/>
          <w:i/>
          <w:iCs/>
          <w:sz w:val="22"/>
          <w:szCs w:val="22"/>
        </w:rPr>
        <w:t>Strengthened</w:t>
      </w:r>
      <w:r w:rsidR="00FA6A9A" w:rsidRPr="008E37A0" w:rsidDel="00535929">
        <w:rPr>
          <w:b/>
          <w:bCs/>
          <w:i/>
          <w:iCs/>
          <w:sz w:val="22"/>
          <w:szCs w:val="22"/>
        </w:rPr>
        <w:t xml:space="preserve"> </w:t>
      </w:r>
      <w:r w:rsidR="00FA6A9A" w:rsidRPr="008E37A0">
        <w:rPr>
          <w:b/>
          <w:bCs/>
          <w:i/>
          <w:iCs/>
          <w:sz w:val="22"/>
          <w:szCs w:val="22"/>
        </w:rPr>
        <w:t>health sector governance and financing mechanisms</w:t>
      </w:r>
      <w:r w:rsidR="00062CAD" w:rsidRPr="008E37A0">
        <w:rPr>
          <w:rStyle w:val="Nessuno"/>
          <w:b/>
          <w:bCs/>
          <w:i/>
          <w:iCs/>
        </w:rPr>
        <w:t>.</w:t>
      </w:r>
    </w:p>
    <w:p w14:paraId="0BB1F308" w14:textId="09CD3225" w:rsidR="00212975" w:rsidRPr="008E37A0" w:rsidRDefault="00212975" w:rsidP="00212975">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Style w:val="Nessuno"/>
          <w:b/>
          <w:bCs/>
          <w:sz w:val="22"/>
          <w:szCs w:val="22"/>
          <w:highlight w:val="yellow"/>
        </w:rPr>
      </w:pPr>
      <w:r w:rsidRPr="008E37A0">
        <w:rPr>
          <w:rStyle w:val="Nessuno"/>
          <w:b/>
          <w:sz w:val="22"/>
          <w:szCs w:val="22"/>
        </w:rPr>
        <w:t>Output 1.1</w:t>
      </w:r>
      <w:r w:rsidRPr="008E37A0">
        <w:rPr>
          <w:sz w:val="22"/>
          <w:szCs w:val="22"/>
        </w:rPr>
        <w:t xml:space="preserve"> </w:t>
      </w:r>
      <w:r w:rsidR="00FA6A9A" w:rsidRPr="008E37A0">
        <w:rPr>
          <w:sz w:val="22"/>
          <w:szCs w:val="22"/>
        </w:rPr>
        <w:t>Governance mechanisms upgraded at the national, sub-national and local levels linked to effective use of digitalization in health and information/HMIS data, HRH development enabling performance improvements</w:t>
      </w:r>
    </w:p>
    <w:p w14:paraId="44C535D9" w14:textId="602F75F1" w:rsidR="00212975" w:rsidRPr="008E37A0" w:rsidRDefault="00212975" w:rsidP="00212975">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Style w:val="Nessuno"/>
          <w:b/>
          <w:bCs/>
          <w:sz w:val="22"/>
          <w:szCs w:val="22"/>
          <w:highlight w:val="yellow"/>
        </w:rPr>
      </w:pPr>
      <w:r w:rsidRPr="008E37A0">
        <w:rPr>
          <w:rStyle w:val="Nessuno"/>
          <w:b/>
          <w:sz w:val="22"/>
          <w:szCs w:val="22"/>
        </w:rPr>
        <w:t>Output 1</w:t>
      </w:r>
      <w:r w:rsidRPr="008E37A0">
        <w:rPr>
          <w:rStyle w:val="Nessuno"/>
          <w:sz w:val="22"/>
          <w:szCs w:val="22"/>
        </w:rPr>
        <w:t>.</w:t>
      </w:r>
      <w:r w:rsidRPr="008E37A0">
        <w:rPr>
          <w:rStyle w:val="Nessuno"/>
          <w:b/>
          <w:sz w:val="22"/>
          <w:szCs w:val="22"/>
        </w:rPr>
        <w:t>2</w:t>
      </w:r>
      <w:r w:rsidRPr="008E37A0">
        <w:rPr>
          <w:b/>
          <w:sz w:val="22"/>
          <w:szCs w:val="22"/>
        </w:rPr>
        <w:t xml:space="preserve"> </w:t>
      </w:r>
      <w:r w:rsidR="00FA6A9A" w:rsidRPr="008E37A0">
        <w:rPr>
          <w:sz w:val="22"/>
          <w:szCs w:val="22"/>
        </w:rPr>
        <w:t>Health financing mechanisms enabling equity, efficiency and quality of service delivery</w:t>
      </w:r>
      <w:r w:rsidR="00FA6A9A" w:rsidRPr="008E37A0">
        <w:rPr>
          <w:bCs/>
          <w:sz w:val="22"/>
          <w:szCs w:val="22"/>
        </w:rPr>
        <w:t xml:space="preserve"> and improvement of provider payment methods based on the best international practice for specialized health care services</w:t>
      </w:r>
    </w:p>
    <w:p w14:paraId="271450EE" w14:textId="477347F1" w:rsidR="001B2485" w:rsidRPr="008E37A0" w:rsidRDefault="00C71268" w:rsidP="001B2485">
      <w:pPr>
        <w:pStyle w:val="Corpo"/>
        <w:spacing w:after="240"/>
        <w:jc w:val="both"/>
        <w:rPr>
          <w:rStyle w:val="Nessuno"/>
          <w:rFonts w:eastAsia="Arial Unicode MS" w:cs="Arial Unicode MS"/>
          <w:sz w:val="22"/>
          <w:szCs w:val="22"/>
        </w:rPr>
      </w:pPr>
      <w:r w:rsidRPr="008E37A0">
        <w:rPr>
          <w:rStyle w:val="Nessuno"/>
          <w:b/>
          <w:bCs/>
          <w:i/>
          <w:iCs/>
          <w:sz w:val="22"/>
          <w:szCs w:val="22"/>
        </w:rPr>
        <w:t xml:space="preserve">SO. 1 – Proposed implementation measure: </w:t>
      </w:r>
      <w:r w:rsidRPr="008E37A0">
        <w:rPr>
          <w:rStyle w:val="Nessuno"/>
          <w:rFonts w:eastAsia="Arial Unicode MS" w:cs="Arial Unicode MS"/>
          <w:b/>
          <w:bCs/>
          <w:sz w:val="22"/>
          <w:szCs w:val="22"/>
        </w:rPr>
        <w:t>Indirect management with an international organisation</w:t>
      </w:r>
      <w:r w:rsidR="00FA6A9A" w:rsidRPr="008E37A0">
        <w:rPr>
          <w:rStyle w:val="Nessuno"/>
          <w:rFonts w:eastAsia="Arial Unicode MS" w:cs="Arial Unicode MS"/>
          <w:sz w:val="22"/>
          <w:szCs w:val="22"/>
        </w:rPr>
        <w:t xml:space="preserve">. </w:t>
      </w:r>
    </w:p>
    <w:p w14:paraId="7220F40C" w14:textId="43D03F2C" w:rsidR="00C71268" w:rsidRPr="008E37A0" w:rsidRDefault="00C71268" w:rsidP="00C71268">
      <w:pPr>
        <w:pStyle w:val="Corpo"/>
        <w:jc w:val="both"/>
        <w:rPr>
          <w:rStyle w:val="Nessuno"/>
          <w:rFonts w:eastAsia="Arial Unicode MS" w:cs="Arial Unicode MS"/>
          <w:sz w:val="22"/>
          <w:szCs w:val="22"/>
        </w:rPr>
      </w:pPr>
      <w:r w:rsidRPr="008E37A0">
        <w:rPr>
          <w:rStyle w:val="Nessuno"/>
          <w:rFonts w:eastAsia="Arial Unicode MS" w:cs="Arial Unicode MS"/>
          <w:sz w:val="22"/>
          <w:szCs w:val="22"/>
        </w:rPr>
        <w:t xml:space="preserve">The UHC Partnership, financed by the EU and other partners and implemented by WHO, aims to promote UHC by fostering policy dialogues on strategic planning and health systems governance, developing health financing strategies and supporting their implementation, and enabling effective development cooperation. To complement the existing UHC-Partnership efforts in </w:t>
      </w:r>
      <w:r w:rsidR="00FA6A9A" w:rsidRPr="008E37A0">
        <w:rPr>
          <w:rStyle w:val="Nessuno"/>
          <w:rFonts w:eastAsia="Arial Unicode MS" w:cs="Arial Unicode MS"/>
          <w:sz w:val="22"/>
          <w:szCs w:val="22"/>
        </w:rPr>
        <w:t>Georgia</w:t>
      </w:r>
      <w:r w:rsidRPr="008E37A0">
        <w:rPr>
          <w:rStyle w:val="Nessuno"/>
          <w:rFonts w:eastAsia="Arial Unicode MS" w:cs="Arial Unicode MS"/>
          <w:sz w:val="22"/>
          <w:szCs w:val="22"/>
        </w:rPr>
        <w:t xml:space="preserve">, this action proposes to accelerate the work of WHO and the </w:t>
      </w:r>
      <w:r w:rsidR="00FA6A9A" w:rsidRPr="008E37A0">
        <w:rPr>
          <w:rStyle w:val="Nessuno"/>
          <w:sz w:val="22"/>
          <w:szCs w:val="22"/>
        </w:rPr>
        <w:t xml:space="preserve">MoIDPLHSA </w:t>
      </w:r>
      <w:r w:rsidRPr="008E37A0">
        <w:rPr>
          <w:rStyle w:val="Nessuno"/>
          <w:rFonts w:eastAsia="Arial Unicode MS" w:cs="Arial Unicode MS"/>
          <w:sz w:val="22"/>
          <w:szCs w:val="22"/>
        </w:rPr>
        <w:t xml:space="preserve">in achieving the objectives of their UHC-Partnership through an indirect management contract with an international organisation. </w:t>
      </w:r>
    </w:p>
    <w:p w14:paraId="1D219DD2" w14:textId="77777777" w:rsidR="00C71268" w:rsidRPr="008E37A0" w:rsidRDefault="00C71268" w:rsidP="00C71268">
      <w:pPr>
        <w:pStyle w:val="Corpo"/>
        <w:jc w:val="both"/>
        <w:rPr>
          <w:rStyle w:val="Nessuno"/>
          <w:rFonts w:eastAsia="Arial Unicode MS" w:cs="Arial Unicode MS"/>
          <w:sz w:val="22"/>
          <w:szCs w:val="22"/>
        </w:rPr>
      </w:pPr>
    </w:p>
    <w:p w14:paraId="5F716C02" w14:textId="4B5FA4E3" w:rsidR="00C71268" w:rsidRPr="008E37A0" w:rsidRDefault="002F55E3" w:rsidP="002F55E3">
      <w:pPr>
        <w:spacing w:after="120"/>
        <w:jc w:val="both"/>
        <w:rPr>
          <w:rStyle w:val="Nessuno"/>
          <w:sz w:val="22"/>
          <w:szCs w:val="22"/>
          <w:lang w:val="en-GB"/>
        </w:rPr>
      </w:pPr>
      <w:r w:rsidRPr="008E37A0">
        <w:rPr>
          <w:rStyle w:val="Nessuno"/>
          <w:sz w:val="22"/>
          <w:szCs w:val="22"/>
          <w:lang w:val="en-GB"/>
        </w:rPr>
        <w:t>In order to ensure sustained, equitable access to essential, quality PHC services responsive to people's needs without financial hardship (</w:t>
      </w:r>
      <w:r w:rsidR="006B6FC9" w:rsidRPr="008E37A0">
        <w:rPr>
          <w:rStyle w:val="Nessuno"/>
          <w:sz w:val="22"/>
          <w:szCs w:val="22"/>
          <w:lang w:val="en-GB"/>
        </w:rPr>
        <w:t xml:space="preserve">i.e. </w:t>
      </w:r>
      <w:r w:rsidRPr="008E37A0">
        <w:rPr>
          <w:rStyle w:val="Nessuno"/>
          <w:sz w:val="22"/>
          <w:szCs w:val="22"/>
          <w:lang w:val="en-GB"/>
        </w:rPr>
        <w:t>UHC), it is necessary to support the strengthening of both –</w:t>
      </w:r>
      <w:r w:rsidR="00C305F6" w:rsidRPr="008E37A0">
        <w:rPr>
          <w:rStyle w:val="Nessuno"/>
          <w:sz w:val="22"/>
          <w:szCs w:val="22"/>
          <w:lang w:val="en-GB"/>
        </w:rPr>
        <w:t xml:space="preserve"> </w:t>
      </w:r>
      <w:r w:rsidRPr="008E37A0">
        <w:rPr>
          <w:rStyle w:val="Nessuno"/>
          <w:sz w:val="22"/>
          <w:szCs w:val="22"/>
          <w:lang w:val="en-GB"/>
        </w:rPr>
        <w:t xml:space="preserve">the health care system, with an emphasis on primary health care. This action is compatible and complementary with the aims of the UHC </w:t>
      </w:r>
      <w:r w:rsidR="006B6FC9" w:rsidRPr="008E37A0">
        <w:rPr>
          <w:rStyle w:val="Nessuno"/>
          <w:sz w:val="22"/>
          <w:szCs w:val="22"/>
          <w:lang w:val="en-GB"/>
        </w:rPr>
        <w:t>P</w:t>
      </w:r>
      <w:r w:rsidRPr="008E37A0">
        <w:rPr>
          <w:rStyle w:val="Nessuno"/>
          <w:sz w:val="22"/>
          <w:szCs w:val="22"/>
          <w:lang w:val="en-GB"/>
        </w:rPr>
        <w:t xml:space="preserve">artnership in </w:t>
      </w:r>
      <w:r w:rsidR="00FA6A9A" w:rsidRPr="008E37A0">
        <w:rPr>
          <w:rStyle w:val="Nessuno"/>
          <w:sz w:val="22"/>
          <w:szCs w:val="22"/>
          <w:lang w:val="en-GB"/>
        </w:rPr>
        <w:t>Georgia</w:t>
      </w:r>
      <w:r w:rsidRPr="008E37A0">
        <w:rPr>
          <w:rStyle w:val="Nessuno"/>
          <w:sz w:val="22"/>
          <w:szCs w:val="22"/>
          <w:lang w:val="en-GB"/>
        </w:rPr>
        <w:t>.</w:t>
      </w:r>
      <w:r w:rsidRPr="008E37A0">
        <w:rPr>
          <w:rStyle w:val="Lbjegyzet-hivatkozs"/>
          <w:sz w:val="22"/>
          <w:szCs w:val="22"/>
          <w:lang w:val="en-GB"/>
        </w:rPr>
        <w:t xml:space="preserve"> </w:t>
      </w:r>
    </w:p>
    <w:p w14:paraId="3769DCD9" w14:textId="2729EFE7" w:rsidR="00AE677E" w:rsidRPr="008E37A0" w:rsidRDefault="002F55E3" w:rsidP="00AE677E">
      <w:pPr>
        <w:spacing w:after="120"/>
        <w:jc w:val="both"/>
        <w:rPr>
          <w:sz w:val="22"/>
          <w:szCs w:val="22"/>
          <w:lang w:val="en-GB"/>
        </w:rPr>
      </w:pPr>
      <w:r w:rsidRPr="008E37A0">
        <w:rPr>
          <w:rStyle w:val="Nessuno"/>
          <w:i/>
          <w:sz w:val="22"/>
          <w:szCs w:val="22"/>
          <w:lang w:val="en-GB"/>
        </w:rPr>
        <w:t>Output 1.1</w:t>
      </w:r>
      <w:r w:rsidRPr="008E37A0">
        <w:rPr>
          <w:rStyle w:val="Nessuno"/>
          <w:sz w:val="22"/>
          <w:szCs w:val="22"/>
          <w:lang w:val="en-GB"/>
        </w:rPr>
        <w:t xml:space="preserve"> action area will invest in national</w:t>
      </w:r>
      <w:r w:rsidR="00531EC5" w:rsidRPr="008E37A0">
        <w:rPr>
          <w:rStyle w:val="Nessuno"/>
          <w:sz w:val="22"/>
          <w:szCs w:val="22"/>
          <w:lang w:val="en-GB"/>
        </w:rPr>
        <w:t xml:space="preserve">, </w:t>
      </w:r>
      <w:r w:rsidRPr="008E37A0">
        <w:rPr>
          <w:rStyle w:val="Nessuno"/>
          <w:sz w:val="22"/>
          <w:szCs w:val="22"/>
          <w:lang w:val="en-GB"/>
        </w:rPr>
        <w:t xml:space="preserve">sub-national </w:t>
      </w:r>
      <w:r w:rsidR="00531EC5" w:rsidRPr="008E37A0">
        <w:rPr>
          <w:rStyle w:val="Nessuno"/>
          <w:sz w:val="22"/>
          <w:szCs w:val="22"/>
          <w:lang w:val="en-GB"/>
        </w:rPr>
        <w:t xml:space="preserve">and local </w:t>
      </w:r>
      <w:r w:rsidRPr="008E37A0">
        <w:rPr>
          <w:rStyle w:val="Nessuno"/>
          <w:sz w:val="22"/>
          <w:szCs w:val="22"/>
          <w:lang w:val="en-GB"/>
        </w:rPr>
        <w:t xml:space="preserve">functions and capacities </w:t>
      </w:r>
      <w:r w:rsidR="00AE677E" w:rsidRPr="008E37A0">
        <w:rPr>
          <w:rStyle w:val="Nessuno"/>
          <w:sz w:val="22"/>
          <w:szCs w:val="22"/>
          <w:lang w:val="en-GB"/>
        </w:rPr>
        <w:t xml:space="preserve">of </w:t>
      </w:r>
      <w:r w:rsidRPr="008E37A0">
        <w:rPr>
          <w:rStyle w:val="Nessuno"/>
          <w:sz w:val="22"/>
          <w:szCs w:val="22"/>
          <w:lang w:val="en-GB"/>
        </w:rPr>
        <w:t>policy planning, strategic planning</w:t>
      </w:r>
      <w:r w:rsidR="00AE677E" w:rsidRPr="008E37A0">
        <w:rPr>
          <w:rStyle w:val="Nessuno"/>
          <w:sz w:val="22"/>
          <w:szCs w:val="22"/>
          <w:lang w:val="en-GB"/>
        </w:rPr>
        <w:t>,</w:t>
      </w:r>
      <w:r w:rsidRPr="008E37A0">
        <w:rPr>
          <w:rStyle w:val="Nessuno"/>
          <w:sz w:val="22"/>
          <w:szCs w:val="22"/>
          <w:lang w:val="en-GB"/>
        </w:rPr>
        <w:t xml:space="preserve"> implementation and monitoring. </w:t>
      </w:r>
      <w:r w:rsidR="00E84DAD" w:rsidRPr="008E37A0">
        <w:rPr>
          <w:rStyle w:val="Nessuno"/>
          <w:sz w:val="22"/>
          <w:szCs w:val="22"/>
          <w:lang w:val="en-GB"/>
        </w:rPr>
        <w:t xml:space="preserve">Improved governance </w:t>
      </w:r>
      <w:r w:rsidRPr="008E37A0">
        <w:rPr>
          <w:rStyle w:val="Nessuno"/>
          <w:sz w:val="22"/>
          <w:szCs w:val="22"/>
          <w:lang w:val="en-GB"/>
        </w:rPr>
        <w:t xml:space="preserve">will </w:t>
      </w:r>
      <w:r w:rsidR="00E84DAD" w:rsidRPr="008E37A0">
        <w:rPr>
          <w:rStyle w:val="Nessuno"/>
          <w:sz w:val="22"/>
          <w:szCs w:val="22"/>
          <w:lang w:val="en-GB"/>
        </w:rPr>
        <w:t xml:space="preserve">set a stage for improving health system performance across all functions, including health financing. </w:t>
      </w:r>
      <w:r w:rsidR="00AE677E" w:rsidRPr="008E37A0">
        <w:rPr>
          <w:sz w:val="22"/>
          <w:szCs w:val="22"/>
          <w:lang w:val="en-GB"/>
        </w:rPr>
        <w:t xml:space="preserve">Activities will </w:t>
      </w:r>
      <w:r w:rsidR="00AE677E" w:rsidRPr="008E37A0">
        <w:rPr>
          <w:iCs/>
          <w:sz w:val="22"/>
          <w:szCs w:val="22"/>
          <w:lang w:val="en-GB"/>
        </w:rPr>
        <w:t>seek to increase the effectiveness and responsiveness of the health system, to meet the health needs of the population leaving no one behind</w:t>
      </w:r>
      <w:r w:rsidR="00AE677E" w:rsidRPr="008E37A0">
        <w:rPr>
          <w:sz w:val="22"/>
          <w:szCs w:val="22"/>
          <w:lang w:val="en-GB"/>
        </w:rPr>
        <w:t xml:space="preserve">. They will reinforce the capacity of the institutions and actors to advocate for health in the policy space; design and roll out structural and organizational transformation of processes and new, modern, accountability arrangements; and to steer the health actors towards a model of care that improves quality and overall outcomes. The action will also strengthen inter-sectoral policy development and implementation mechanisms particularly between health and finance (for more effective prioritization of government expenditures) and health and education (for more effective human resources for health policies). </w:t>
      </w:r>
    </w:p>
    <w:p w14:paraId="2728BD54" w14:textId="44A13D85" w:rsidR="008F735A" w:rsidRPr="008E37A0" w:rsidRDefault="00E84DAD" w:rsidP="002F55E3">
      <w:pPr>
        <w:spacing w:after="120"/>
        <w:jc w:val="both"/>
        <w:rPr>
          <w:rStyle w:val="Nessuno"/>
          <w:sz w:val="22"/>
          <w:szCs w:val="22"/>
          <w:lang w:val="en-GB"/>
        </w:rPr>
      </w:pPr>
      <w:r w:rsidRPr="008E37A0">
        <w:rPr>
          <w:rStyle w:val="Nessuno"/>
          <w:sz w:val="22"/>
          <w:szCs w:val="22"/>
          <w:lang w:val="en-GB"/>
        </w:rPr>
        <w:t xml:space="preserve">Interventions within </w:t>
      </w:r>
      <w:r w:rsidR="008F735A" w:rsidRPr="008E37A0">
        <w:rPr>
          <w:rStyle w:val="Nessuno"/>
          <w:i/>
          <w:sz w:val="22"/>
          <w:szCs w:val="22"/>
          <w:lang w:val="en-GB"/>
        </w:rPr>
        <w:t>O</w:t>
      </w:r>
      <w:r w:rsidRPr="008E37A0">
        <w:rPr>
          <w:rStyle w:val="Nessuno"/>
          <w:i/>
          <w:sz w:val="22"/>
          <w:szCs w:val="22"/>
          <w:lang w:val="en-GB"/>
        </w:rPr>
        <w:t>utput 1.2</w:t>
      </w:r>
      <w:r w:rsidRPr="008E37A0">
        <w:rPr>
          <w:rStyle w:val="Nessuno"/>
          <w:sz w:val="22"/>
          <w:szCs w:val="22"/>
          <w:lang w:val="en-GB"/>
        </w:rPr>
        <w:t xml:space="preserve"> will be </w:t>
      </w:r>
      <w:r w:rsidR="002F55E3" w:rsidRPr="008E37A0">
        <w:rPr>
          <w:rStyle w:val="Nessuno"/>
          <w:sz w:val="22"/>
          <w:szCs w:val="22"/>
          <w:lang w:val="en-GB"/>
        </w:rPr>
        <w:t xml:space="preserve">inclusive </w:t>
      </w:r>
      <w:r w:rsidR="00531EC5" w:rsidRPr="008E37A0">
        <w:rPr>
          <w:rStyle w:val="Nessuno"/>
          <w:sz w:val="22"/>
          <w:szCs w:val="22"/>
          <w:lang w:val="en-GB"/>
        </w:rPr>
        <w:t xml:space="preserve">health financial policy and corresponding mechanisms leading to the sound public budgeting and increased public revenues of the health sector, their equitable and efficient allocations with new contracting purchaser-provider arrangements in conjunction with health facility level mechanisms for transparent, efficient and accountable utilization of funds </w:t>
      </w:r>
      <w:r w:rsidR="002F55E3" w:rsidRPr="008E37A0">
        <w:rPr>
          <w:rStyle w:val="Nessuno"/>
          <w:sz w:val="22"/>
          <w:szCs w:val="22"/>
          <w:lang w:val="en-GB"/>
        </w:rPr>
        <w:t xml:space="preserve">and </w:t>
      </w:r>
      <w:r w:rsidR="00531EC5" w:rsidRPr="008E37A0">
        <w:rPr>
          <w:rStyle w:val="Nessuno"/>
          <w:sz w:val="22"/>
          <w:szCs w:val="22"/>
          <w:lang w:val="en-GB"/>
        </w:rPr>
        <w:t>other resources, as well as effective incentives of workers for improving their daily performance (access, quality and efficiency of health care delivery)</w:t>
      </w:r>
      <w:r w:rsidR="002F55E3" w:rsidRPr="008E37A0">
        <w:rPr>
          <w:rStyle w:val="Nessuno"/>
          <w:sz w:val="22"/>
          <w:szCs w:val="22"/>
          <w:lang w:val="en-GB"/>
        </w:rPr>
        <w:t xml:space="preserve">. </w:t>
      </w:r>
      <w:r w:rsidR="008F735A" w:rsidRPr="008E37A0">
        <w:rPr>
          <w:rStyle w:val="Nessuno"/>
          <w:sz w:val="22"/>
          <w:szCs w:val="22"/>
          <w:lang w:val="en-GB"/>
        </w:rPr>
        <w:t xml:space="preserve">The </w:t>
      </w:r>
      <w:r w:rsidR="004673FF" w:rsidRPr="008E37A0">
        <w:rPr>
          <w:rStyle w:val="Nessuno"/>
          <w:sz w:val="22"/>
          <w:szCs w:val="22"/>
          <w:lang w:val="en-GB"/>
        </w:rPr>
        <w:t>a</w:t>
      </w:r>
      <w:r w:rsidR="008F735A" w:rsidRPr="008E37A0">
        <w:rPr>
          <w:rStyle w:val="Nessuno"/>
          <w:sz w:val="22"/>
          <w:szCs w:val="22"/>
          <w:lang w:val="en-GB"/>
        </w:rPr>
        <w:t xml:space="preserve">ction </w:t>
      </w:r>
      <w:r w:rsidR="008F735A" w:rsidRPr="008E37A0">
        <w:rPr>
          <w:sz w:val="22"/>
          <w:szCs w:val="22"/>
          <w:lang w:val="en-GB"/>
        </w:rPr>
        <w:t xml:space="preserve">will contribute to renew health financing strategy focusing on a redesign of the basic benefit package, including coverage for outpatient drugs; and revitalize the policy dialogue about pooling, resource allocation and strategic purchasing. </w:t>
      </w:r>
    </w:p>
    <w:p w14:paraId="6ACE917A" w14:textId="1A723F2F" w:rsidR="00062CAD" w:rsidRPr="008E37A0" w:rsidRDefault="009C50F1" w:rsidP="00062CAD">
      <w:pPr>
        <w:pStyle w:val="Corpo"/>
        <w:spacing w:after="120"/>
        <w:jc w:val="both"/>
        <w:rPr>
          <w:rStyle w:val="Nessuno"/>
          <w:b/>
          <w:bCs/>
          <w:i/>
          <w:iCs/>
          <w:sz w:val="22"/>
          <w:szCs w:val="22"/>
        </w:rPr>
      </w:pPr>
      <w:r w:rsidRPr="008E37A0">
        <w:rPr>
          <w:rStyle w:val="Nessuno"/>
          <w:rFonts w:eastAsia="Arial Unicode MS" w:cs="Arial Unicode MS"/>
          <w:b/>
          <w:bCs/>
          <w:i/>
          <w:iCs/>
          <w:sz w:val="22"/>
          <w:szCs w:val="22"/>
        </w:rPr>
        <w:lastRenderedPageBreak/>
        <w:t>SO/</w:t>
      </w:r>
      <w:r w:rsidR="00CB6BEF" w:rsidRPr="008E37A0">
        <w:rPr>
          <w:rStyle w:val="Nessuno"/>
          <w:rFonts w:eastAsia="Arial Unicode MS" w:cs="Arial Unicode MS"/>
          <w:b/>
          <w:bCs/>
          <w:i/>
          <w:iCs/>
          <w:sz w:val="22"/>
          <w:szCs w:val="22"/>
        </w:rPr>
        <w:t>Out</w:t>
      </w:r>
      <w:r w:rsidR="00062CAD" w:rsidRPr="008E37A0">
        <w:rPr>
          <w:rStyle w:val="Nessuno"/>
          <w:rFonts w:eastAsia="Arial Unicode MS" w:cs="Arial Unicode MS"/>
          <w:b/>
          <w:bCs/>
          <w:i/>
          <w:iCs/>
          <w:sz w:val="22"/>
          <w:szCs w:val="22"/>
        </w:rPr>
        <w:t>come</w:t>
      </w:r>
      <w:r w:rsidR="00CB6BEF" w:rsidRPr="008E37A0">
        <w:rPr>
          <w:rStyle w:val="Nessuno"/>
          <w:rFonts w:eastAsia="Arial Unicode MS" w:cs="Arial Unicode MS"/>
          <w:b/>
          <w:bCs/>
          <w:i/>
          <w:iCs/>
          <w:sz w:val="22"/>
          <w:szCs w:val="22"/>
        </w:rPr>
        <w:t xml:space="preserve"> </w:t>
      </w:r>
      <w:r w:rsidR="00DF7D72" w:rsidRPr="008E37A0">
        <w:rPr>
          <w:rStyle w:val="Nessuno"/>
          <w:rFonts w:eastAsia="Arial Unicode MS" w:cs="Arial Unicode MS"/>
          <w:b/>
          <w:bCs/>
          <w:i/>
          <w:iCs/>
          <w:sz w:val="22"/>
          <w:szCs w:val="22"/>
        </w:rPr>
        <w:t xml:space="preserve">2: </w:t>
      </w:r>
      <w:r w:rsidR="00FA6A9A" w:rsidRPr="008E37A0">
        <w:rPr>
          <w:b/>
          <w:bCs/>
          <w:i/>
          <w:iCs/>
          <w:sz w:val="22"/>
          <w:szCs w:val="22"/>
        </w:rPr>
        <w:t>Integrated primary health care of improved access and service quality and strengthened primary health system to effectively address prevention of NCDs</w:t>
      </w:r>
      <w:r w:rsidR="00062CAD" w:rsidRPr="008E37A0">
        <w:rPr>
          <w:rStyle w:val="Nessuno"/>
          <w:b/>
          <w:bCs/>
          <w:i/>
          <w:iCs/>
        </w:rPr>
        <w:tab/>
      </w:r>
    </w:p>
    <w:p w14:paraId="206D94E5" w14:textId="636DD235" w:rsidR="00212975" w:rsidRPr="008E37A0" w:rsidRDefault="00212975" w:rsidP="00212975">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Style w:val="Nessuno"/>
          <w:b/>
          <w:bCs/>
          <w:sz w:val="22"/>
          <w:szCs w:val="22"/>
          <w:highlight w:val="yellow"/>
        </w:rPr>
      </w:pPr>
      <w:r w:rsidRPr="008E37A0">
        <w:rPr>
          <w:rStyle w:val="Nessuno"/>
          <w:b/>
          <w:sz w:val="22"/>
          <w:szCs w:val="22"/>
        </w:rPr>
        <w:t>Output 2.1</w:t>
      </w:r>
      <w:r w:rsidRPr="008E37A0">
        <w:rPr>
          <w:rStyle w:val="BuborkszvegChar"/>
          <w:rFonts w:ascii="Times New Roman" w:hAnsi="Times New Roman"/>
          <w:sz w:val="22"/>
          <w:szCs w:val="22"/>
          <w:lang w:val="en-GB"/>
        </w:rPr>
        <w:t xml:space="preserve"> </w:t>
      </w:r>
      <w:r w:rsidR="00036607" w:rsidRPr="008E37A0">
        <w:rPr>
          <w:sz w:val="22"/>
          <w:szCs w:val="22"/>
        </w:rPr>
        <w:t>Concept and mechanism of integrating PHC delivery developed, agreed and implemented with an emphasis on strengthening family medicine</w:t>
      </w:r>
    </w:p>
    <w:p w14:paraId="26F5DD93" w14:textId="0B7937C1" w:rsidR="00212975" w:rsidRPr="008E37A0" w:rsidRDefault="00212975" w:rsidP="00212975">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Style w:val="Nessuno"/>
          <w:b/>
          <w:bCs/>
          <w:sz w:val="22"/>
          <w:szCs w:val="22"/>
          <w:highlight w:val="yellow"/>
        </w:rPr>
      </w:pPr>
      <w:r w:rsidRPr="008E37A0">
        <w:rPr>
          <w:rStyle w:val="Nessuno"/>
          <w:b/>
          <w:sz w:val="22"/>
          <w:szCs w:val="22"/>
        </w:rPr>
        <w:t>Output 2.2</w:t>
      </w:r>
      <w:r w:rsidRPr="008E37A0">
        <w:rPr>
          <w:b/>
          <w:sz w:val="22"/>
          <w:szCs w:val="22"/>
        </w:rPr>
        <w:t xml:space="preserve"> </w:t>
      </w:r>
      <w:r w:rsidR="00036607" w:rsidRPr="008E37A0">
        <w:rPr>
          <w:sz w:val="22"/>
          <w:szCs w:val="22"/>
        </w:rPr>
        <w:t>Population access</w:t>
      </w:r>
      <w:r w:rsidR="00036607" w:rsidRPr="008E37A0" w:rsidDel="005C43B5">
        <w:rPr>
          <w:sz w:val="22"/>
          <w:szCs w:val="22"/>
        </w:rPr>
        <w:t xml:space="preserve"> </w:t>
      </w:r>
      <w:r w:rsidR="00036607" w:rsidRPr="008E37A0">
        <w:rPr>
          <w:sz w:val="22"/>
          <w:szCs w:val="22"/>
        </w:rPr>
        <w:t>to integrated PHC services improved</w:t>
      </w:r>
    </w:p>
    <w:p w14:paraId="414215B6" w14:textId="51921968" w:rsidR="00212975" w:rsidRPr="008E37A0" w:rsidRDefault="00212975" w:rsidP="00212975">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Style w:val="Nessuno"/>
          <w:b/>
          <w:bCs/>
          <w:sz w:val="22"/>
          <w:szCs w:val="22"/>
          <w:highlight w:val="yellow"/>
        </w:rPr>
      </w:pPr>
      <w:r w:rsidRPr="008E37A0">
        <w:rPr>
          <w:rStyle w:val="Nessuno"/>
          <w:b/>
          <w:sz w:val="22"/>
          <w:szCs w:val="22"/>
        </w:rPr>
        <w:t>Output 2.3</w:t>
      </w:r>
      <w:r w:rsidRPr="008E37A0">
        <w:rPr>
          <w:sz w:val="22"/>
          <w:szCs w:val="22"/>
        </w:rPr>
        <w:t xml:space="preserve"> </w:t>
      </w:r>
      <w:r w:rsidR="00036607" w:rsidRPr="008E37A0">
        <w:rPr>
          <w:sz w:val="22"/>
          <w:szCs w:val="22"/>
        </w:rPr>
        <w:t>Quality management and improvement mechanism developed and introduced in health facilities</w:t>
      </w:r>
    </w:p>
    <w:p w14:paraId="0B5AAE5E" w14:textId="407FF2C1" w:rsidR="00C71268" w:rsidRPr="008E37A0" w:rsidRDefault="00C71268">
      <w:pPr>
        <w:pStyle w:val="Corpo"/>
        <w:spacing w:after="120"/>
        <w:jc w:val="both"/>
        <w:rPr>
          <w:rStyle w:val="Nessuno"/>
          <w:sz w:val="22"/>
          <w:szCs w:val="22"/>
        </w:rPr>
      </w:pPr>
      <w:r w:rsidRPr="008E37A0">
        <w:rPr>
          <w:rStyle w:val="Nessuno"/>
          <w:b/>
          <w:bCs/>
          <w:i/>
          <w:iCs/>
          <w:sz w:val="22"/>
          <w:szCs w:val="22"/>
        </w:rPr>
        <w:t xml:space="preserve">SO. 2 – Proposed implementation measure: </w:t>
      </w:r>
      <w:r w:rsidRPr="008E37A0">
        <w:rPr>
          <w:rStyle w:val="Nessuno"/>
          <w:b/>
          <w:bCs/>
          <w:sz w:val="22"/>
          <w:szCs w:val="22"/>
        </w:rPr>
        <w:t>Indirect management with a</w:t>
      </w:r>
      <w:r w:rsidR="00036607" w:rsidRPr="008E37A0">
        <w:rPr>
          <w:rStyle w:val="Nessuno"/>
          <w:b/>
          <w:bCs/>
          <w:sz w:val="22"/>
          <w:szCs w:val="22"/>
        </w:rPr>
        <w:t>n EU</w:t>
      </w:r>
      <w:r w:rsidRPr="008E37A0">
        <w:rPr>
          <w:rStyle w:val="Nessuno"/>
          <w:b/>
          <w:bCs/>
          <w:sz w:val="22"/>
          <w:szCs w:val="22"/>
        </w:rPr>
        <w:t xml:space="preserve"> M</w:t>
      </w:r>
      <w:r w:rsidR="00036607" w:rsidRPr="008E37A0">
        <w:rPr>
          <w:rStyle w:val="Nessuno"/>
          <w:b/>
          <w:bCs/>
          <w:sz w:val="22"/>
          <w:szCs w:val="22"/>
        </w:rPr>
        <w:t xml:space="preserve">ember </w:t>
      </w:r>
      <w:r w:rsidRPr="008E37A0">
        <w:rPr>
          <w:rStyle w:val="Nessuno"/>
          <w:b/>
          <w:bCs/>
          <w:sz w:val="22"/>
          <w:szCs w:val="22"/>
        </w:rPr>
        <w:t>S</w:t>
      </w:r>
      <w:r w:rsidR="00036607" w:rsidRPr="008E37A0">
        <w:rPr>
          <w:rStyle w:val="Nessuno"/>
          <w:b/>
          <w:bCs/>
          <w:sz w:val="22"/>
          <w:szCs w:val="22"/>
        </w:rPr>
        <w:t>tate</w:t>
      </w:r>
      <w:r w:rsidRPr="008E37A0">
        <w:rPr>
          <w:rStyle w:val="Nessuno"/>
          <w:b/>
          <w:bCs/>
          <w:sz w:val="22"/>
          <w:szCs w:val="22"/>
        </w:rPr>
        <w:t xml:space="preserve"> organisation.</w:t>
      </w:r>
      <w:r w:rsidRPr="008E37A0">
        <w:rPr>
          <w:rStyle w:val="Nessuno"/>
          <w:sz w:val="22"/>
          <w:szCs w:val="22"/>
        </w:rPr>
        <w:t xml:space="preserve"> </w:t>
      </w:r>
    </w:p>
    <w:p w14:paraId="4A29A876" w14:textId="2F48F692" w:rsidR="00C71268" w:rsidRPr="008E37A0" w:rsidRDefault="007C7AA8" w:rsidP="006B6FC9">
      <w:pPr>
        <w:pStyle w:val="Corpo"/>
        <w:spacing w:after="240"/>
        <w:jc w:val="both"/>
        <w:rPr>
          <w:rFonts w:eastAsia="Arial Unicode MS" w:cs="Arial Unicode MS"/>
          <w:sz w:val="22"/>
          <w:szCs w:val="22"/>
        </w:rPr>
      </w:pPr>
      <w:r w:rsidRPr="008E37A0">
        <w:rPr>
          <w:rFonts w:eastAsia="Arial Unicode MS" w:cs="Arial Unicode MS"/>
          <w:sz w:val="22"/>
          <w:szCs w:val="22"/>
        </w:rPr>
        <w:t xml:space="preserve">These three outputs are </w:t>
      </w:r>
      <w:r w:rsidRPr="008E37A0">
        <w:rPr>
          <w:rFonts w:cs="Arial Unicode MS"/>
          <w:sz w:val="22"/>
          <w:szCs w:val="22"/>
        </w:rPr>
        <w:t>intertwined</w:t>
      </w:r>
      <w:r w:rsidRPr="008E37A0">
        <w:rPr>
          <w:rFonts w:eastAsia="Arial Unicode MS" w:cs="Arial Unicode MS"/>
          <w:sz w:val="22"/>
          <w:szCs w:val="22"/>
        </w:rPr>
        <w:t xml:space="preserve"> and </w:t>
      </w:r>
      <w:r w:rsidRPr="008E37A0">
        <w:rPr>
          <w:rFonts w:cs="Arial Unicode MS"/>
          <w:sz w:val="22"/>
          <w:szCs w:val="22"/>
        </w:rPr>
        <w:t>emphasise</w:t>
      </w:r>
      <w:r w:rsidRPr="008E37A0">
        <w:rPr>
          <w:rFonts w:eastAsia="Arial Unicode MS" w:cs="Arial Unicode MS"/>
          <w:sz w:val="22"/>
          <w:szCs w:val="22"/>
        </w:rPr>
        <w:t xml:space="preserve"> both, integration of PHC services by overcoming </w:t>
      </w:r>
      <w:r w:rsidRPr="008E37A0">
        <w:rPr>
          <w:rFonts w:cs="Arial Unicode MS"/>
          <w:sz w:val="22"/>
          <w:szCs w:val="22"/>
        </w:rPr>
        <w:t xml:space="preserve">fragmentation </w:t>
      </w:r>
      <w:r w:rsidRPr="008E37A0">
        <w:rPr>
          <w:rFonts w:eastAsia="Arial Unicode MS" w:cs="Arial Unicode MS"/>
          <w:sz w:val="22"/>
          <w:szCs w:val="22"/>
        </w:rPr>
        <w:t xml:space="preserve">of service delivery </w:t>
      </w:r>
      <w:r w:rsidRPr="008E37A0">
        <w:rPr>
          <w:rFonts w:cs="Arial Unicode MS"/>
          <w:sz w:val="22"/>
          <w:szCs w:val="22"/>
        </w:rPr>
        <w:t>through</w:t>
      </w:r>
      <w:r w:rsidRPr="008E37A0">
        <w:rPr>
          <w:rFonts w:eastAsia="Arial Unicode MS" w:cs="Arial Unicode MS"/>
          <w:sz w:val="22"/>
          <w:szCs w:val="22"/>
        </w:rPr>
        <w:t xml:space="preserve"> various vertical programs, as well as </w:t>
      </w:r>
      <w:r w:rsidRPr="008E37A0">
        <w:rPr>
          <w:rFonts w:cs="Arial Unicode MS"/>
          <w:sz w:val="22"/>
          <w:szCs w:val="22"/>
        </w:rPr>
        <w:t>ensuring improvements</w:t>
      </w:r>
      <w:r w:rsidRPr="008E37A0">
        <w:rPr>
          <w:rFonts w:eastAsia="Arial Unicode MS" w:cs="Arial Unicode MS"/>
          <w:sz w:val="22"/>
          <w:szCs w:val="22"/>
        </w:rPr>
        <w:t xml:space="preserve"> in access and quality of </w:t>
      </w:r>
      <w:r w:rsidRPr="008E37A0">
        <w:rPr>
          <w:rFonts w:cs="Arial Unicode MS"/>
          <w:sz w:val="22"/>
          <w:szCs w:val="22"/>
        </w:rPr>
        <w:t>integrated</w:t>
      </w:r>
      <w:r w:rsidRPr="008E37A0">
        <w:rPr>
          <w:rFonts w:eastAsia="Arial Unicode MS" w:cs="Arial Unicode MS"/>
          <w:sz w:val="22"/>
          <w:szCs w:val="22"/>
        </w:rPr>
        <w:t xml:space="preserve"> PHC services. Activities within </w:t>
      </w:r>
      <w:r w:rsidR="008F735A" w:rsidRPr="008E37A0">
        <w:rPr>
          <w:rFonts w:eastAsia="Arial Unicode MS" w:cs="Arial Unicode MS"/>
          <w:i/>
          <w:iCs/>
          <w:sz w:val="22"/>
          <w:szCs w:val="22"/>
        </w:rPr>
        <w:t>O</w:t>
      </w:r>
      <w:r w:rsidRPr="008E37A0">
        <w:rPr>
          <w:rFonts w:eastAsia="Arial Unicode MS" w:cs="Arial Unicode MS"/>
          <w:i/>
          <w:iCs/>
          <w:sz w:val="22"/>
          <w:szCs w:val="22"/>
        </w:rPr>
        <w:t>utputs 2.1</w:t>
      </w:r>
      <w:r w:rsidR="008F735A" w:rsidRPr="008E37A0">
        <w:rPr>
          <w:rFonts w:eastAsia="Arial Unicode MS" w:cs="Arial Unicode MS"/>
          <w:sz w:val="22"/>
          <w:szCs w:val="22"/>
        </w:rPr>
        <w:t xml:space="preserve"> and </w:t>
      </w:r>
      <w:r w:rsidRPr="008E37A0">
        <w:rPr>
          <w:rFonts w:eastAsia="Arial Unicode MS" w:cs="Arial Unicode MS"/>
          <w:i/>
          <w:iCs/>
          <w:sz w:val="22"/>
          <w:szCs w:val="22"/>
        </w:rPr>
        <w:t>2.3</w:t>
      </w:r>
      <w:r w:rsidRPr="008E37A0">
        <w:rPr>
          <w:rFonts w:eastAsia="Arial Unicode MS" w:cs="Arial Unicode MS"/>
          <w:sz w:val="22"/>
          <w:szCs w:val="22"/>
        </w:rPr>
        <w:t xml:space="preserve"> </w:t>
      </w:r>
      <w:r w:rsidR="008A6048" w:rsidRPr="008E37A0">
        <w:rPr>
          <w:rFonts w:eastAsia="Arial Unicode MS" w:cs="Arial Unicode MS"/>
        </w:rPr>
        <w:t xml:space="preserve">will </w:t>
      </w:r>
      <w:r w:rsidRPr="008E37A0">
        <w:rPr>
          <w:rFonts w:eastAsia="Arial Unicode MS" w:cs="Arial Unicode MS"/>
          <w:sz w:val="22"/>
          <w:szCs w:val="22"/>
        </w:rPr>
        <w:t>be enabled by progress within improved health governance and financing (</w:t>
      </w:r>
      <w:r w:rsidR="006B6FC9" w:rsidRPr="008E37A0">
        <w:rPr>
          <w:rFonts w:eastAsia="Arial Unicode MS" w:cs="Arial Unicode MS"/>
          <w:sz w:val="22"/>
          <w:szCs w:val="22"/>
        </w:rPr>
        <w:t>O</w:t>
      </w:r>
      <w:r w:rsidRPr="008E37A0">
        <w:rPr>
          <w:rFonts w:eastAsia="Arial Unicode MS" w:cs="Arial Unicode MS"/>
          <w:sz w:val="22"/>
          <w:szCs w:val="22"/>
        </w:rPr>
        <w:t>utputs 1.1 and 1.2) while being implemented</w:t>
      </w:r>
      <w:r w:rsidR="00F33D7F" w:rsidRPr="008E37A0">
        <w:rPr>
          <w:rFonts w:eastAsia="Arial Unicode MS" w:cs="Arial Unicode MS"/>
          <w:sz w:val="22"/>
          <w:szCs w:val="22"/>
        </w:rPr>
        <w:t xml:space="preserve"> at local (district) level. Concept of integrated PHC and mechanism of integration will be elaborated and adopted by regulation (link to </w:t>
      </w:r>
      <w:r w:rsidR="006B6FC9" w:rsidRPr="008E37A0">
        <w:rPr>
          <w:rFonts w:eastAsia="Arial Unicode MS" w:cs="Arial Unicode MS"/>
          <w:sz w:val="22"/>
          <w:szCs w:val="22"/>
        </w:rPr>
        <w:t>O</w:t>
      </w:r>
      <w:r w:rsidR="00F33D7F" w:rsidRPr="008E37A0">
        <w:rPr>
          <w:rFonts w:eastAsia="Arial Unicode MS" w:cs="Arial Unicode MS"/>
          <w:sz w:val="22"/>
          <w:szCs w:val="22"/>
        </w:rPr>
        <w:t xml:space="preserve">utput 1.1). </w:t>
      </w:r>
    </w:p>
    <w:p w14:paraId="438E7F69" w14:textId="10D67895" w:rsidR="00C71268" w:rsidRPr="008E37A0" w:rsidRDefault="00F33D7F" w:rsidP="00036607">
      <w:pPr>
        <w:pStyle w:val="Corpo"/>
        <w:spacing w:after="240"/>
        <w:jc w:val="both"/>
        <w:rPr>
          <w:rStyle w:val="Nessuno"/>
          <w:sz w:val="22"/>
          <w:szCs w:val="22"/>
        </w:rPr>
      </w:pPr>
      <w:r w:rsidRPr="00A12BDE">
        <w:rPr>
          <w:rFonts w:eastAsia="Arial Unicode MS" w:cs="Arial Unicode MS"/>
          <w:sz w:val="22"/>
          <w:szCs w:val="22"/>
        </w:rPr>
        <w:t>Integrat</w:t>
      </w:r>
      <w:r w:rsidR="00036607" w:rsidRPr="00A12BDE">
        <w:rPr>
          <w:rFonts w:eastAsia="Arial Unicode MS" w:cs="Arial Unicode MS"/>
          <w:sz w:val="22"/>
          <w:szCs w:val="22"/>
        </w:rPr>
        <w:t>ion</w:t>
      </w:r>
      <w:r w:rsidRPr="00A12BDE">
        <w:rPr>
          <w:rFonts w:eastAsia="Arial Unicode MS" w:cs="Arial Unicode MS"/>
          <w:sz w:val="22"/>
          <w:szCs w:val="22"/>
        </w:rPr>
        <w:t xml:space="preserve"> of services within the PHC will contribute to improving access to essential health services for the population. </w:t>
      </w:r>
      <w:r w:rsidR="007C7AA8" w:rsidRPr="00A12BDE">
        <w:rPr>
          <w:rFonts w:eastAsia="Arial Unicode MS" w:cs="Arial Unicode MS"/>
          <w:sz w:val="22"/>
          <w:szCs w:val="22"/>
        </w:rPr>
        <w:t xml:space="preserve">While improving </w:t>
      </w:r>
      <w:r w:rsidR="007C7AA8" w:rsidRPr="00A12BDE">
        <w:rPr>
          <w:rStyle w:val="Nessuno"/>
          <w:sz w:val="22"/>
          <w:szCs w:val="22"/>
        </w:rPr>
        <w:t xml:space="preserve">access and </w:t>
      </w:r>
      <w:r w:rsidR="008A6048" w:rsidRPr="00A12BDE">
        <w:rPr>
          <w:rStyle w:val="Nessuno"/>
          <w:sz w:val="22"/>
          <w:szCs w:val="22"/>
        </w:rPr>
        <w:t xml:space="preserve">quality of </w:t>
      </w:r>
      <w:r w:rsidR="00DF7D72" w:rsidRPr="00A12BDE">
        <w:rPr>
          <w:rStyle w:val="Nessuno"/>
          <w:sz w:val="22"/>
          <w:szCs w:val="22"/>
        </w:rPr>
        <w:t>service</w:t>
      </w:r>
      <w:r w:rsidR="008A6048" w:rsidRPr="00A12BDE">
        <w:rPr>
          <w:rStyle w:val="Nessuno"/>
          <w:sz w:val="22"/>
          <w:szCs w:val="22"/>
        </w:rPr>
        <w:t>s</w:t>
      </w:r>
      <w:r w:rsidR="00DF7D72" w:rsidRPr="00A12BDE">
        <w:rPr>
          <w:rStyle w:val="Nessuno"/>
          <w:sz w:val="22"/>
          <w:szCs w:val="22"/>
        </w:rPr>
        <w:t xml:space="preserve"> at PHC level</w:t>
      </w:r>
      <w:r w:rsidR="007C7AA8" w:rsidRPr="00A12BDE">
        <w:rPr>
          <w:rStyle w:val="Nessuno"/>
          <w:sz w:val="22"/>
          <w:szCs w:val="22"/>
        </w:rPr>
        <w:t>, s</w:t>
      </w:r>
      <w:r w:rsidR="002755DA" w:rsidRPr="00A12BDE">
        <w:rPr>
          <w:rFonts w:eastAsia="Arial Unicode MS" w:cs="Arial Unicode MS"/>
          <w:sz w:val="22"/>
          <w:szCs w:val="22"/>
        </w:rPr>
        <w:t xml:space="preserve">trong linkage to the secondary sector </w:t>
      </w:r>
      <w:r w:rsidR="007C7AA8" w:rsidRPr="00A12BDE">
        <w:rPr>
          <w:rFonts w:eastAsia="Arial Unicode MS" w:cs="Arial Unicode MS"/>
          <w:sz w:val="22"/>
          <w:szCs w:val="22"/>
        </w:rPr>
        <w:t xml:space="preserve">will be considered in implementation approach (e.g. </w:t>
      </w:r>
      <w:r w:rsidR="002755DA" w:rsidRPr="00A12BDE">
        <w:rPr>
          <w:rFonts w:eastAsia="Arial Unicode MS" w:cs="Arial Unicode MS"/>
          <w:sz w:val="22"/>
          <w:szCs w:val="22"/>
        </w:rPr>
        <w:t xml:space="preserve"> new regulation </w:t>
      </w:r>
      <w:r w:rsidR="00CB240F" w:rsidRPr="00A12BDE">
        <w:rPr>
          <w:rFonts w:eastAsia="Arial Unicode MS" w:cs="Arial Unicode MS"/>
          <w:sz w:val="22"/>
          <w:szCs w:val="22"/>
        </w:rPr>
        <w:t xml:space="preserve">on patient referrals </w:t>
      </w:r>
      <w:r w:rsidR="003F4C16" w:rsidRPr="00A12BDE">
        <w:rPr>
          <w:rStyle w:val="Nessuno"/>
          <w:sz w:val="22"/>
          <w:szCs w:val="22"/>
        </w:rPr>
        <w:t>to ensure continuum of care</w:t>
      </w:r>
      <w:r w:rsidR="007C7AA8" w:rsidRPr="00A12BDE">
        <w:rPr>
          <w:rFonts w:eastAsia="Arial Unicode MS" w:cs="Arial Unicode MS"/>
          <w:sz w:val="22"/>
          <w:szCs w:val="22"/>
        </w:rPr>
        <w:t>, joint training,</w:t>
      </w:r>
      <w:r w:rsidR="002755DA" w:rsidRPr="00A12BDE">
        <w:rPr>
          <w:rFonts w:eastAsia="Arial Unicode MS" w:cs="Arial Unicode MS"/>
          <w:sz w:val="22"/>
          <w:szCs w:val="22"/>
        </w:rPr>
        <w:t xml:space="preserve"> </w:t>
      </w:r>
      <w:r w:rsidR="003F4C16" w:rsidRPr="00A12BDE">
        <w:rPr>
          <w:rFonts w:eastAsia="Arial Unicode MS" w:cs="Arial Unicode MS"/>
          <w:sz w:val="22"/>
          <w:szCs w:val="22"/>
        </w:rPr>
        <w:t xml:space="preserve">facility level </w:t>
      </w:r>
      <w:r w:rsidR="003F4C16" w:rsidRPr="00A12BDE">
        <w:rPr>
          <w:rStyle w:val="Nessuno"/>
          <w:sz w:val="22"/>
          <w:szCs w:val="22"/>
        </w:rPr>
        <w:t xml:space="preserve">quality management systems). </w:t>
      </w:r>
      <w:r w:rsidR="00DF7D72" w:rsidRPr="00A12BDE">
        <w:rPr>
          <w:rStyle w:val="Nessuno"/>
          <w:sz w:val="22"/>
          <w:szCs w:val="22"/>
        </w:rPr>
        <w:t>Furthermore, investment</w:t>
      </w:r>
      <w:r w:rsidR="003F4C16" w:rsidRPr="00A12BDE">
        <w:rPr>
          <w:rStyle w:val="Nessuno"/>
          <w:sz w:val="22"/>
          <w:szCs w:val="22"/>
        </w:rPr>
        <w:t>s</w:t>
      </w:r>
      <w:r w:rsidR="00DF7D72" w:rsidRPr="00A12BDE">
        <w:rPr>
          <w:rStyle w:val="Nessuno"/>
          <w:sz w:val="22"/>
          <w:szCs w:val="22"/>
        </w:rPr>
        <w:t xml:space="preserve"> in human resources </w:t>
      </w:r>
      <w:r w:rsidR="003F4C16" w:rsidRPr="00A12BDE">
        <w:rPr>
          <w:rStyle w:val="Nessuno"/>
          <w:sz w:val="22"/>
          <w:szCs w:val="22"/>
        </w:rPr>
        <w:t>development and management at PHC</w:t>
      </w:r>
      <w:r w:rsidR="00CB240F" w:rsidRPr="00A12BDE">
        <w:rPr>
          <w:rStyle w:val="Nessuno"/>
          <w:sz w:val="22"/>
          <w:szCs w:val="22"/>
        </w:rPr>
        <w:t xml:space="preserve"> to </w:t>
      </w:r>
      <w:r w:rsidR="003F4C16" w:rsidRPr="00A12BDE">
        <w:rPr>
          <w:rStyle w:val="Nessuno"/>
          <w:sz w:val="22"/>
          <w:szCs w:val="22"/>
        </w:rPr>
        <w:t xml:space="preserve">be made considering continuation and sustainability of </w:t>
      </w:r>
      <w:r w:rsidR="00036607" w:rsidRPr="00A12BDE">
        <w:rPr>
          <w:rStyle w:val="Nessuno"/>
          <w:sz w:val="22"/>
          <w:szCs w:val="22"/>
        </w:rPr>
        <w:t xml:space="preserve">previous </w:t>
      </w:r>
      <w:r w:rsidR="003F4C16" w:rsidRPr="00A12BDE">
        <w:rPr>
          <w:rStyle w:val="Nessuno"/>
          <w:sz w:val="22"/>
          <w:szCs w:val="22"/>
        </w:rPr>
        <w:t xml:space="preserve">work </w:t>
      </w:r>
      <w:r w:rsidR="00036607" w:rsidRPr="00A12BDE">
        <w:rPr>
          <w:rStyle w:val="Nessuno"/>
          <w:sz w:val="22"/>
          <w:szCs w:val="22"/>
        </w:rPr>
        <w:t>done in the sector by development partners</w:t>
      </w:r>
      <w:r w:rsidR="003F4C16" w:rsidRPr="00A12BDE">
        <w:rPr>
          <w:rStyle w:val="Nessuno"/>
          <w:sz w:val="22"/>
          <w:szCs w:val="22"/>
        </w:rPr>
        <w:t>.</w:t>
      </w:r>
      <w:r w:rsidR="00036607" w:rsidRPr="00A12BDE">
        <w:rPr>
          <w:rStyle w:val="Nessuno"/>
          <w:sz w:val="22"/>
          <w:szCs w:val="22"/>
        </w:rPr>
        <w:t xml:space="preserve"> </w:t>
      </w:r>
      <w:r w:rsidR="00036607" w:rsidRPr="00A12BDE">
        <w:rPr>
          <w:sz w:val="22"/>
          <w:szCs w:val="22"/>
        </w:rPr>
        <w:t xml:space="preserve">Support to the development of family medicine based PHC, the development of the Continuous Medical Education </w:t>
      </w:r>
      <w:r w:rsidR="006B6FC9" w:rsidRPr="00A12BDE">
        <w:rPr>
          <w:sz w:val="22"/>
          <w:szCs w:val="22"/>
        </w:rPr>
        <w:t xml:space="preserve">(CME) </w:t>
      </w:r>
      <w:r w:rsidR="00036607" w:rsidRPr="00A12BDE">
        <w:rPr>
          <w:sz w:val="22"/>
          <w:szCs w:val="22"/>
        </w:rPr>
        <w:t xml:space="preserve">and Continuous Professional Development </w:t>
      </w:r>
      <w:r w:rsidR="006B6FC9" w:rsidRPr="00A12BDE">
        <w:rPr>
          <w:sz w:val="22"/>
          <w:szCs w:val="22"/>
        </w:rPr>
        <w:t xml:space="preserve">(CPD) </w:t>
      </w:r>
      <w:r w:rsidR="00036607" w:rsidRPr="00A12BDE">
        <w:rPr>
          <w:sz w:val="22"/>
          <w:szCs w:val="22"/>
        </w:rPr>
        <w:t xml:space="preserve">programmes will be in the focus of capacity building of Human Resources for Health. </w:t>
      </w:r>
      <w:r w:rsidR="00C71268" w:rsidRPr="00A12BDE">
        <w:rPr>
          <w:rStyle w:val="Nessuno"/>
          <w:sz w:val="22"/>
          <w:szCs w:val="22"/>
        </w:rPr>
        <w:t>Geographic scope of the action will be determined in coordination with other components.</w:t>
      </w:r>
      <w:r w:rsidR="00C71268" w:rsidRPr="008E37A0">
        <w:rPr>
          <w:rStyle w:val="Nessuno"/>
          <w:sz w:val="22"/>
          <w:szCs w:val="22"/>
        </w:rPr>
        <w:t xml:space="preserve"> </w:t>
      </w:r>
    </w:p>
    <w:p w14:paraId="755383F7" w14:textId="55DCF3FC" w:rsidR="001C6998" w:rsidRPr="008E37A0" w:rsidRDefault="009C50F1" w:rsidP="00D54AF1">
      <w:pPr>
        <w:pStyle w:val="Corpo"/>
        <w:spacing w:after="120"/>
        <w:jc w:val="both"/>
        <w:rPr>
          <w:rStyle w:val="Nessuno"/>
        </w:rPr>
      </w:pPr>
      <w:r w:rsidRPr="008E37A0">
        <w:rPr>
          <w:rStyle w:val="Nessuno"/>
          <w:b/>
          <w:bCs/>
          <w:i/>
          <w:iCs/>
          <w:sz w:val="22"/>
          <w:szCs w:val="22"/>
        </w:rPr>
        <w:t>SO/</w:t>
      </w:r>
      <w:r w:rsidR="00CB6BEF" w:rsidRPr="008E37A0">
        <w:rPr>
          <w:rStyle w:val="Nessuno"/>
          <w:b/>
          <w:bCs/>
          <w:i/>
          <w:iCs/>
          <w:sz w:val="22"/>
          <w:szCs w:val="22"/>
        </w:rPr>
        <w:t>Out</w:t>
      </w:r>
      <w:r w:rsidR="001C6998" w:rsidRPr="008E37A0">
        <w:rPr>
          <w:rStyle w:val="Nessuno"/>
          <w:b/>
          <w:bCs/>
          <w:i/>
          <w:iCs/>
          <w:sz w:val="22"/>
          <w:szCs w:val="22"/>
        </w:rPr>
        <w:t>come</w:t>
      </w:r>
      <w:r w:rsidR="00CB6BEF" w:rsidRPr="008E37A0">
        <w:rPr>
          <w:rStyle w:val="Nessuno"/>
          <w:b/>
          <w:bCs/>
          <w:i/>
          <w:iCs/>
          <w:sz w:val="22"/>
          <w:szCs w:val="22"/>
        </w:rPr>
        <w:t xml:space="preserve"> </w:t>
      </w:r>
      <w:r w:rsidR="00DF7D72" w:rsidRPr="008E37A0">
        <w:rPr>
          <w:rStyle w:val="Nessuno"/>
          <w:b/>
          <w:bCs/>
          <w:i/>
          <w:iCs/>
          <w:sz w:val="22"/>
          <w:szCs w:val="22"/>
        </w:rPr>
        <w:t>3:</w:t>
      </w:r>
      <w:r w:rsidR="00D54AF1" w:rsidRPr="008E37A0">
        <w:rPr>
          <w:rStyle w:val="Nessuno"/>
          <w:b/>
          <w:bCs/>
          <w:i/>
          <w:iCs/>
          <w:sz w:val="22"/>
          <w:szCs w:val="22"/>
        </w:rPr>
        <w:t xml:space="preserve"> </w:t>
      </w:r>
      <w:r w:rsidR="0075774B" w:rsidRPr="008E37A0">
        <w:rPr>
          <w:rStyle w:val="Nessuno"/>
          <w:b/>
          <w:bCs/>
          <w:i/>
          <w:iCs/>
          <w:sz w:val="22"/>
          <w:szCs w:val="22"/>
        </w:rPr>
        <w:t xml:space="preserve"> </w:t>
      </w:r>
      <w:r w:rsidR="00036607" w:rsidRPr="008E37A0">
        <w:rPr>
          <w:b/>
          <w:bCs/>
          <w:i/>
          <w:iCs/>
          <w:sz w:val="22"/>
          <w:szCs w:val="22"/>
        </w:rPr>
        <w:t>Promotion of healthy lifestyles and improved prevention of NCDs</w:t>
      </w:r>
      <w:r w:rsidR="001C6998" w:rsidRPr="008E37A0" w:rsidDel="001C6998">
        <w:rPr>
          <w:rStyle w:val="Nessuno"/>
        </w:rPr>
        <w:t xml:space="preserve"> </w:t>
      </w:r>
    </w:p>
    <w:p w14:paraId="32A3E509" w14:textId="5CBB98BE" w:rsidR="00212975" w:rsidRPr="008E37A0" w:rsidRDefault="00212975" w:rsidP="00212975">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Style w:val="Nessuno"/>
          <w:b/>
          <w:bCs/>
          <w:sz w:val="22"/>
          <w:szCs w:val="22"/>
          <w:highlight w:val="yellow"/>
        </w:rPr>
      </w:pPr>
      <w:r w:rsidRPr="008E37A0">
        <w:rPr>
          <w:rStyle w:val="Nessuno"/>
          <w:b/>
          <w:sz w:val="22"/>
          <w:szCs w:val="22"/>
        </w:rPr>
        <w:t>Output 3.1</w:t>
      </w:r>
      <w:r w:rsidRPr="008E37A0">
        <w:rPr>
          <w:sz w:val="22"/>
          <w:szCs w:val="22"/>
        </w:rPr>
        <w:t xml:space="preserve"> </w:t>
      </w:r>
      <w:r w:rsidR="00036607" w:rsidRPr="008E37A0">
        <w:rPr>
          <w:sz w:val="22"/>
          <w:szCs w:val="22"/>
        </w:rPr>
        <w:t xml:space="preserve">The population has improved health seeking </w:t>
      </w:r>
      <w:r w:rsidR="00A12BDE" w:rsidRPr="008E37A0">
        <w:rPr>
          <w:sz w:val="22"/>
          <w:szCs w:val="22"/>
        </w:rPr>
        <w:t>behaviour</w:t>
      </w:r>
      <w:r w:rsidR="00036607" w:rsidRPr="008E37A0">
        <w:rPr>
          <w:sz w:val="22"/>
          <w:szCs w:val="22"/>
        </w:rPr>
        <w:t xml:space="preserve"> and reduced NCDs risk </w:t>
      </w:r>
      <w:r w:rsidR="00A12BDE" w:rsidRPr="008E37A0">
        <w:rPr>
          <w:sz w:val="22"/>
          <w:szCs w:val="22"/>
        </w:rPr>
        <w:t>behaviour</w:t>
      </w:r>
      <w:r w:rsidR="00036607" w:rsidRPr="008E37A0">
        <w:rPr>
          <w:sz w:val="22"/>
          <w:szCs w:val="22"/>
        </w:rPr>
        <w:t xml:space="preserve"> to reduce the impact of the most significant risk factors for non-communicable diseases</w:t>
      </w:r>
    </w:p>
    <w:p w14:paraId="54965725" w14:textId="3D4D8D04" w:rsidR="00212975" w:rsidRPr="008E37A0" w:rsidRDefault="00212975" w:rsidP="00212975">
      <w:pPr>
        <w:pStyle w:val="Corpo"/>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Style w:val="Nessuno"/>
          <w:b/>
          <w:bCs/>
          <w:sz w:val="22"/>
          <w:szCs w:val="22"/>
          <w:highlight w:val="yellow"/>
        </w:rPr>
      </w:pPr>
      <w:r w:rsidRPr="008E37A0">
        <w:rPr>
          <w:rStyle w:val="Nessuno"/>
          <w:b/>
          <w:sz w:val="22"/>
          <w:szCs w:val="22"/>
        </w:rPr>
        <w:t>Output 3.2</w:t>
      </w:r>
      <w:r w:rsidRPr="008E37A0">
        <w:rPr>
          <w:rStyle w:val="BuborkszvegChar"/>
          <w:rFonts w:ascii="Times New Roman" w:hAnsi="Times New Roman"/>
          <w:sz w:val="22"/>
          <w:szCs w:val="22"/>
          <w:lang w:val="en-GB"/>
        </w:rPr>
        <w:t xml:space="preserve"> </w:t>
      </w:r>
      <w:r w:rsidR="00036607" w:rsidRPr="008E37A0">
        <w:rPr>
          <w:sz w:val="22"/>
          <w:szCs w:val="22"/>
        </w:rPr>
        <w:t xml:space="preserve">Prevention of non-communicable diseases </w:t>
      </w:r>
      <w:r w:rsidR="00A12BDE" w:rsidRPr="008E37A0">
        <w:rPr>
          <w:sz w:val="22"/>
          <w:szCs w:val="22"/>
        </w:rPr>
        <w:t>strengthened,</w:t>
      </w:r>
      <w:r w:rsidR="00036607" w:rsidRPr="008E37A0">
        <w:rPr>
          <w:sz w:val="22"/>
          <w:szCs w:val="22"/>
        </w:rPr>
        <w:t xml:space="preserve"> and screening programmes prepared and implemented</w:t>
      </w:r>
    </w:p>
    <w:p w14:paraId="789BC3F9" w14:textId="77777777" w:rsidR="006B6FC9" w:rsidRPr="008E37A0" w:rsidRDefault="00C71268" w:rsidP="006B6FC9">
      <w:pPr>
        <w:pStyle w:val="Corpo"/>
        <w:spacing w:after="120"/>
        <w:jc w:val="both"/>
        <w:rPr>
          <w:rStyle w:val="Nessuno"/>
          <w:sz w:val="22"/>
          <w:szCs w:val="22"/>
        </w:rPr>
      </w:pPr>
      <w:r w:rsidRPr="008E37A0">
        <w:rPr>
          <w:rStyle w:val="Nessuno"/>
          <w:b/>
          <w:bCs/>
          <w:i/>
          <w:iCs/>
          <w:sz w:val="22"/>
          <w:szCs w:val="22"/>
        </w:rPr>
        <w:t xml:space="preserve">SO. 3 – Proposed implementation measure: </w:t>
      </w:r>
      <w:r w:rsidR="006B6FC9" w:rsidRPr="008E37A0">
        <w:rPr>
          <w:rStyle w:val="Nessuno"/>
          <w:b/>
          <w:bCs/>
          <w:sz w:val="22"/>
          <w:szCs w:val="22"/>
        </w:rPr>
        <w:t>Indirect management with an EU Member State organisation.</w:t>
      </w:r>
      <w:r w:rsidR="006B6FC9" w:rsidRPr="008E37A0">
        <w:rPr>
          <w:rStyle w:val="Nessuno"/>
          <w:sz w:val="22"/>
          <w:szCs w:val="22"/>
        </w:rPr>
        <w:t xml:space="preserve"> </w:t>
      </w:r>
    </w:p>
    <w:p w14:paraId="5815AA8E" w14:textId="0129C308" w:rsidR="00D450D0" w:rsidRPr="008E37A0" w:rsidRDefault="00D450D0" w:rsidP="003D1D00">
      <w:pPr>
        <w:pStyle w:val="Corpo"/>
        <w:spacing w:after="120"/>
        <w:jc w:val="both"/>
        <w:rPr>
          <w:b/>
          <w:sz w:val="22"/>
          <w:szCs w:val="22"/>
        </w:rPr>
      </w:pPr>
      <w:r w:rsidRPr="008E37A0">
        <w:rPr>
          <w:sz w:val="22"/>
          <w:szCs w:val="22"/>
        </w:rPr>
        <w:t>Out</w:t>
      </w:r>
      <w:r w:rsidR="001B2485" w:rsidRPr="008E37A0">
        <w:rPr>
          <w:sz w:val="22"/>
          <w:szCs w:val="22"/>
        </w:rPr>
        <w:t>put 3.1</w:t>
      </w:r>
      <w:r w:rsidRPr="008E37A0">
        <w:rPr>
          <w:sz w:val="22"/>
          <w:szCs w:val="22"/>
        </w:rPr>
        <w:t xml:space="preserve"> focuses on building capacities of multi-sectoral teams to facilitate the development of a sustainable model at community level to carry out health promotion activities to reduce the burden of NCDs among their population. The team</w:t>
      </w:r>
      <w:r w:rsidR="001B2485" w:rsidRPr="008E37A0">
        <w:rPr>
          <w:sz w:val="22"/>
          <w:szCs w:val="22"/>
        </w:rPr>
        <w:t>s</w:t>
      </w:r>
      <w:r w:rsidRPr="008E37A0">
        <w:rPr>
          <w:sz w:val="22"/>
          <w:szCs w:val="22"/>
        </w:rPr>
        <w:t xml:space="preserve"> </w:t>
      </w:r>
      <w:r w:rsidR="001B2485" w:rsidRPr="008E37A0">
        <w:rPr>
          <w:sz w:val="22"/>
          <w:szCs w:val="22"/>
        </w:rPr>
        <w:t>will</w:t>
      </w:r>
      <w:r w:rsidRPr="008E37A0">
        <w:rPr>
          <w:sz w:val="22"/>
          <w:szCs w:val="22"/>
        </w:rPr>
        <w:t xml:space="preserve"> elaborate a community health profile and facilitate and support the creation of community</w:t>
      </w:r>
      <w:r w:rsidR="006B6FC9" w:rsidRPr="008E37A0">
        <w:rPr>
          <w:sz w:val="22"/>
          <w:szCs w:val="22"/>
        </w:rPr>
        <w:t>-</w:t>
      </w:r>
      <w:r w:rsidRPr="008E37A0">
        <w:rPr>
          <w:sz w:val="22"/>
          <w:szCs w:val="22"/>
        </w:rPr>
        <w:t xml:space="preserve">based teams to validate the profile and develop </w:t>
      </w:r>
      <w:r w:rsidR="00A12BDE" w:rsidRPr="008E37A0">
        <w:rPr>
          <w:sz w:val="22"/>
          <w:szCs w:val="22"/>
        </w:rPr>
        <w:t>community-based</w:t>
      </w:r>
      <w:r w:rsidRPr="008E37A0">
        <w:rPr>
          <w:sz w:val="22"/>
          <w:szCs w:val="22"/>
        </w:rPr>
        <w:t xml:space="preserve"> action plans. The action plans </w:t>
      </w:r>
      <w:r w:rsidR="001B2485" w:rsidRPr="008E37A0">
        <w:rPr>
          <w:sz w:val="22"/>
          <w:szCs w:val="22"/>
        </w:rPr>
        <w:t>will be</w:t>
      </w:r>
      <w:r w:rsidRPr="008E37A0">
        <w:rPr>
          <w:sz w:val="22"/>
          <w:szCs w:val="22"/>
        </w:rPr>
        <w:t xml:space="preserve"> designed to create a local “healthy community” platform, whether through existing or new platforms and structures to raise awareness of NCD risk and increases diagnosis and care seeking that in turn help to change unhealthy lifestyle and behaviours. The community groups </w:t>
      </w:r>
      <w:r w:rsidR="001B2485" w:rsidRPr="008E37A0">
        <w:rPr>
          <w:sz w:val="22"/>
          <w:szCs w:val="22"/>
        </w:rPr>
        <w:t xml:space="preserve">will </w:t>
      </w:r>
      <w:r w:rsidRPr="008E37A0">
        <w:rPr>
          <w:sz w:val="22"/>
          <w:szCs w:val="22"/>
        </w:rPr>
        <w:t xml:space="preserve">establish, under the leadership of the </w:t>
      </w:r>
      <w:r w:rsidR="001B2485" w:rsidRPr="008E37A0">
        <w:rPr>
          <w:sz w:val="22"/>
          <w:szCs w:val="22"/>
        </w:rPr>
        <w:t>PHC</w:t>
      </w:r>
      <w:r w:rsidRPr="008E37A0">
        <w:rPr>
          <w:sz w:val="22"/>
          <w:szCs w:val="22"/>
        </w:rPr>
        <w:t xml:space="preserve"> teams, patient groups to facilitate support for self-care and work for the emergence of a structured patients’ voice in order to make the health system responsive to patients’ needs. </w:t>
      </w:r>
    </w:p>
    <w:p w14:paraId="1A64BA49" w14:textId="0A6B8B58" w:rsidR="00CF2BB8" w:rsidRPr="008E37A0" w:rsidRDefault="00426379" w:rsidP="00426379">
      <w:pPr>
        <w:pStyle w:val="Corpo"/>
        <w:spacing w:after="120"/>
        <w:jc w:val="both"/>
        <w:rPr>
          <w:sz w:val="22"/>
          <w:szCs w:val="22"/>
        </w:rPr>
      </w:pPr>
      <w:r w:rsidRPr="008E37A0">
        <w:rPr>
          <w:rStyle w:val="Nessuno"/>
          <w:sz w:val="22"/>
          <w:szCs w:val="22"/>
        </w:rPr>
        <w:t xml:space="preserve">Output 3.2. focuses on preparing and implementing screening programmes for main disease categories of non-communicable diseases. </w:t>
      </w:r>
      <w:r w:rsidR="00CF2BB8" w:rsidRPr="008E37A0">
        <w:rPr>
          <w:bCs/>
          <w:sz w:val="22"/>
          <w:szCs w:val="22"/>
        </w:rPr>
        <w:t>Analysis of demographic</w:t>
      </w:r>
      <w:r w:rsidRPr="008E37A0">
        <w:rPr>
          <w:bCs/>
          <w:sz w:val="22"/>
          <w:szCs w:val="22"/>
        </w:rPr>
        <w:t>/epidemiological</w:t>
      </w:r>
      <w:r w:rsidR="00CF2BB8" w:rsidRPr="008E37A0">
        <w:rPr>
          <w:bCs/>
          <w:sz w:val="22"/>
          <w:szCs w:val="22"/>
        </w:rPr>
        <w:t xml:space="preserve"> </w:t>
      </w:r>
      <w:r w:rsidRPr="008E37A0">
        <w:rPr>
          <w:bCs/>
          <w:sz w:val="22"/>
          <w:szCs w:val="22"/>
        </w:rPr>
        <w:t xml:space="preserve">data and </w:t>
      </w:r>
      <w:r w:rsidR="00CF2BB8" w:rsidRPr="008E37A0">
        <w:rPr>
          <w:bCs/>
          <w:sz w:val="22"/>
          <w:szCs w:val="22"/>
        </w:rPr>
        <w:t>information w</w:t>
      </w:r>
      <w:r w:rsidRPr="008E37A0">
        <w:rPr>
          <w:bCs/>
          <w:sz w:val="22"/>
          <w:szCs w:val="22"/>
        </w:rPr>
        <w:t xml:space="preserve">ill be conducted </w:t>
      </w:r>
      <w:r w:rsidR="00CF2BB8" w:rsidRPr="008E37A0">
        <w:rPr>
          <w:bCs/>
          <w:sz w:val="22"/>
          <w:szCs w:val="22"/>
        </w:rPr>
        <w:t xml:space="preserve">for preparation of screening programs. The results of the research will </w:t>
      </w:r>
      <w:r w:rsidRPr="008E37A0">
        <w:rPr>
          <w:bCs/>
          <w:sz w:val="22"/>
          <w:szCs w:val="22"/>
        </w:rPr>
        <w:t xml:space="preserve">also </w:t>
      </w:r>
      <w:r w:rsidR="00CF2BB8" w:rsidRPr="008E37A0">
        <w:rPr>
          <w:bCs/>
          <w:sz w:val="22"/>
          <w:szCs w:val="22"/>
        </w:rPr>
        <w:t>be used for the development of feasibility studies and increasing adherence of the target audience.</w:t>
      </w:r>
      <w:r w:rsidRPr="008E37A0">
        <w:rPr>
          <w:bCs/>
          <w:sz w:val="22"/>
          <w:szCs w:val="22"/>
        </w:rPr>
        <w:t xml:space="preserve"> </w:t>
      </w:r>
      <w:r w:rsidR="00CF2BB8" w:rsidRPr="008E37A0">
        <w:rPr>
          <w:bCs/>
          <w:sz w:val="22"/>
          <w:szCs w:val="22"/>
        </w:rPr>
        <w:t xml:space="preserve">The </w:t>
      </w:r>
      <w:r w:rsidRPr="008E37A0">
        <w:rPr>
          <w:bCs/>
          <w:sz w:val="22"/>
          <w:szCs w:val="22"/>
        </w:rPr>
        <w:t>action</w:t>
      </w:r>
      <w:r w:rsidR="00CF2BB8" w:rsidRPr="008E37A0">
        <w:rPr>
          <w:bCs/>
          <w:sz w:val="22"/>
          <w:szCs w:val="22"/>
        </w:rPr>
        <w:t xml:space="preserve"> </w:t>
      </w:r>
      <w:r w:rsidRPr="008E37A0">
        <w:rPr>
          <w:bCs/>
          <w:sz w:val="22"/>
          <w:szCs w:val="22"/>
        </w:rPr>
        <w:t xml:space="preserve">will help </w:t>
      </w:r>
      <w:r w:rsidRPr="008E37A0">
        <w:rPr>
          <w:bCs/>
          <w:sz w:val="22"/>
          <w:szCs w:val="22"/>
        </w:rPr>
        <w:lastRenderedPageBreak/>
        <w:t xml:space="preserve">to </w:t>
      </w:r>
      <w:r w:rsidR="00CF2BB8" w:rsidRPr="008E37A0">
        <w:rPr>
          <w:bCs/>
          <w:sz w:val="22"/>
          <w:szCs w:val="22"/>
        </w:rPr>
        <w:t xml:space="preserve">develop the guidelines </w:t>
      </w:r>
      <w:r w:rsidRPr="008E37A0">
        <w:rPr>
          <w:bCs/>
          <w:sz w:val="22"/>
          <w:szCs w:val="22"/>
        </w:rPr>
        <w:t xml:space="preserve">and procedures </w:t>
      </w:r>
      <w:r w:rsidR="00CF2BB8" w:rsidRPr="008E37A0">
        <w:rPr>
          <w:bCs/>
          <w:sz w:val="22"/>
          <w:szCs w:val="22"/>
        </w:rPr>
        <w:t xml:space="preserve">on organizing screening </w:t>
      </w:r>
      <w:r w:rsidRPr="008E37A0">
        <w:rPr>
          <w:bCs/>
          <w:sz w:val="22"/>
          <w:szCs w:val="22"/>
        </w:rPr>
        <w:t xml:space="preserve">programmes. Information systems will be strengthened. Legislation will be reviewed and revised. </w:t>
      </w:r>
      <w:r w:rsidR="00CF2BB8" w:rsidRPr="008E37A0">
        <w:rPr>
          <w:bCs/>
          <w:sz w:val="22"/>
          <w:szCs w:val="22"/>
        </w:rPr>
        <w:t xml:space="preserve">The capacity </w:t>
      </w:r>
      <w:r w:rsidRPr="008E37A0">
        <w:rPr>
          <w:bCs/>
          <w:sz w:val="22"/>
          <w:szCs w:val="22"/>
        </w:rPr>
        <w:t xml:space="preserve">building of professionals engaged in screenings will be </w:t>
      </w:r>
      <w:r w:rsidR="00CF2BB8" w:rsidRPr="008E37A0">
        <w:rPr>
          <w:bCs/>
          <w:sz w:val="22"/>
          <w:szCs w:val="22"/>
        </w:rPr>
        <w:t>strengthened</w:t>
      </w:r>
      <w:r w:rsidRPr="008E37A0">
        <w:rPr>
          <w:bCs/>
          <w:sz w:val="22"/>
          <w:szCs w:val="22"/>
        </w:rPr>
        <w:t xml:space="preserve"> through different training programmes and </w:t>
      </w:r>
      <w:r w:rsidR="00CF2BB8" w:rsidRPr="008E37A0">
        <w:rPr>
          <w:bCs/>
          <w:sz w:val="22"/>
          <w:szCs w:val="22"/>
        </w:rPr>
        <w:t>on</w:t>
      </w:r>
      <w:r w:rsidRPr="008E37A0">
        <w:rPr>
          <w:bCs/>
          <w:sz w:val="22"/>
          <w:szCs w:val="22"/>
        </w:rPr>
        <w:t xml:space="preserve"> </w:t>
      </w:r>
      <w:r w:rsidR="00CF2BB8" w:rsidRPr="008E37A0">
        <w:rPr>
          <w:bCs/>
          <w:sz w:val="22"/>
          <w:szCs w:val="22"/>
        </w:rPr>
        <w:t>job</w:t>
      </w:r>
      <w:r w:rsidRPr="008E37A0">
        <w:rPr>
          <w:bCs/>
          <w:sz w:val="22"/>
          <w:szCs w:val="22"/>
        </w:rPr>
        <w:t xml:space="preserve"> </w:t>
      </w:r>
      <w:r w:rsidR="00CF2BB8" w:rsidRPr="008E37A0">
        <w:rPr>
          <w:bCs/>
          <w:sz w:val="22"/>
          <w:szCs w:val="22"/>
        </w:rPr>
        <w:t>training</w:t>
      </w:r>
      <w:r w:rsidRPr="008E37A0">
        <w:rPr>
          <w:bCs/>
          <w:sz w:val="22"/>
          <w:szCs w:val="22"/>
        </w:rPr>
        <w:t>s</w:t>
      </w:r>
      <w:r w:rsidR="00CF2BB8" w:rsidRPr="008E37A0">
        <w:rPr>
          <w:bCs/>
          <w:sz w:val="22"/>
          <w:szCs w:val="22"/>
        </w:rPr>
        <w:t xml:space="preserve">. </w:t>
      </w:r>
    </w:p>
    <w:p w14:paraId="110FC696" w14:textId="77777777" w:rsidR="00AE21A5" w:rsidRPr="008E37A0" w:rsidRDefault="00DF7D72" w:rsidP="00D54AF1">
      <w:pPr>
        <w:pStyle w:val="Intestazione2"/>
        <w:ind w:left="576" w:hanging="576"/>
        <w:rPr>
          <w:lang w:val="en-GB"/>
        </w:rPr>
      </w:pPr>
      <w:r w:rsidRPr="008E37A0">
        <w:rPr>
          <w:lang w:val="en-GB"/>
        </w:rPr>
        <w:t xml:space="preserve">4.3 </w:t>
      </w:r>
      <w:r w:rsidR="00A400C9" w:rsidRPr="008E37A0">
        <w:rPr>
          <w:lang w:val="en-GB"/>
        </w:rPr>
        <w:tab/>
      </w:r>
      <w:r w:rsidR="00A400C9" w:rsidRPr="008E37A0">
        <w:rPr>
          <w:lang w:val="en-GB"/>
        </w:rPr>
        <w:tab/>
      </w:r>
      <w:r w:rsidRPr="008E37A0">
        <w:rPr>
          <w:lang w:val="en-GB"/>
        </w:rPr>
        <w:t>Mainstreaming</w:t>
      </w:r>
    </w:p>
    <w:p w14:paraId="5DE1B9CB" w14:textId="3C84BD9C" w:rsidR="00C305F6" w:rsidRPr="008E37A0" w:rsidRDefault="00C305F6" w:rsidP="00C305F6">
      <w:pPr>
        <w:pStyle w:val="Intestazione2"/>
        <w:tabs>
          <w:tab w:val="clear" w:pos="360"/>
          <w:tab w:val="left" w:pos="284"/>
        </w:tabs>
        <w:ind w:left="0" w:firstLine="0"/>
        <w:rPr>
          <w:b w:val="0"/>
          <w:bCs w:val="0"/>
          <w:sz w:val="22"/>
          <w:szCs w:val="22"/>
          <w:lang w:val="en-GB"/>
        </w:rPr>
      </w:pPr>
      <w:r w:rsidRPr="008E37A0">
        <w:rPr>
          <w:b w:val="0"/>
          <w:bCs w:val="0"/>
          <w:sz w:val="22"/>
          <w:szCs w:val="22"/>
          <w:lang w:val="en-GB"/>
        </w:rPr>
        <w:t xml:space="preserve">All activities included in this action will be designed and implemented in accordance with the principles of the rights-based approach, human rights, gender equality, environmental sustainability and the inclusion of socially or economically deprived groups, wherever these issues are of particular relevance to the institutions being assisted. </w:t>
      </w:r>
    </w:p>
    <w:p w14:paraId="0BB90CCE" w14:textId="473687A5" w:rsidR="002174FC" w:rsidRPr="008E37A0" w:rsidRDefault="00C305F6" w:rsidP="00431189">
      <w:pPr>
        <w:pStyle w:val="Intestazione2"/>
        <w:tabs>
          <w:tab w:val="clear" w:pos="360"/>
          <w:tab w:val="left" w:pos="284"/>
        </w:tabs>
        <w:ind w:left="0" w:firstLine="0"/>
        <w:rPr>
          <w:b w:val="0"/>
          <w:bCs w:val="0"/>
          <w:sz w:val="22"/>
          <w:szCs w:val="22"/>
          <w:lang w:val="en-GB"/>
        </w:rPr>
      </w:pPr>
      <w:r w:rsidRPr="008E37A0">
        <w:rPr>
          <w:b w:val="0"/>
          <w:bCs w:val="0"/>
          <w:sz w:val="22"/>
          <w:szCs w:val="22"/>
          <w:lang w:val="en-GB"/>
        </w:rPr>
        <w:t xml:space="preserve">This action promotes non-discrimination and equal access to health services, focusing on the most vulnerable groups. Human rights and inclusion will be promoted through the reinforcement of affordable, quality health services for all contributing to universal health coverage. Gender equality will be reinforced through integration of maternal health and sexual and reproductive health programmes into primary health care and through training health workers to ensure women throughout </w:t>
      </w:r>
      <w:r w:rsidR="002174FC" w:rsidRPr="008E37A0">
        <w:rPr>
          <w:b w:val="0"/>
          <w:bCs w:val="0"/>
          <w:sz w:val="22"/>
          <w:szCs w:val="22"/>
          <w:lang w:val="en-GB"/>
        </w:rPr>
        <w:t>Georgia</w:t>
      </w:r>
      <w:r w:rsidRPr="008E37A0">
        <w:rPr>
          <w:b w:val="0"/>
          <w:bCs w:val="0"/>
          <w:sz w:val="22"/>
          <w:szCs w:val="22"/>
          <w:lang w:val="en-GB"/>
        </w:rPr>
        <w:t xml:space="preserve"> have access to essential health services. Environmental sustainability will be promoted through medical waste management by ensuring safe disposal of medical waste avoiding air and soil pollution and infections. </w:t>
      </w:r>
    </w:p>
    <w:p w14:paraId="7A84F4E9" w14:textId="0D2AF85E" w:rsidR="00AE21A5" w:rsidRPr="008E37A0" w:rsidRDefault="00A400C9" w:rsidP="00D54AF1">
      <w:pPr>
        <w:pStyle w:val="Intestazione2"/>
        <w:ind w:left="576" w:hanging="576"/>
        <w:rPr>
          <w:lang w:val="en-GB"/>
        </w:rPr>
      </w:pPr>
      <w:r w:rsidRPr="008E37A0">
        <w:rPr>
          <w:lang w:val="en-GB"/>
        </w:rPr>
        <w:t xml:space="preserve">4.4 </w:t>
      </w:r>
      <w:r w:rsidRPr="008E37A0">
        <w:rPr>
          <w:lang w:val="en-GB"/>
        </w:rPr>
        <w:tab/>
      </w:r>
      <w:r w:rsidRPr="008E37A0">
        <w:rPr>
          <w:lang w:val="en-GB"/>
        </w:rPr>
        <w:tab/>
      </w:r>
      <w:r w:rsidR="00DF7D72" w:rsidRPr="008E37A0">
        <w:rPr>
          <w:lang w:val="en-GB"/>
        </w:rPr>
        <w:t>Contribution to Sustainable Development Goals</w:t>
      </w:r>
    </w:p>
    <w:p w14:paraId="274467A6" w14:textId="036BF5FB" w:rsidR="00851239" w:rsidRPr="008E37A0" w:rsidRDefault="00851239" w:rsidP="00851239">
      <w:pPr>
        <w:pStyle w:val="Intestazione2"/>
        <w:tabs>
          <w:tab w:val="clear" w:pos="360"/>
          <w:tab w:val="left" w:pos="284"/>
        </w:tabs>
        <w:ind w:left="0" w:firstLine="0"/>
        <w:rPr>
          <w:b w:val="0"/>
          <w:bCs w:val="0"/>
          <w:sz w:val="22"/>
          <w:szCs w:val="22"/>
          <w:lang w:val="en-GB"/>
        </w:rPr>
      </w:pPr>
      <w:r w:rsidRPr="008E37A0">
        <w:rPr>
          <w:b w:val="0"/>
          <w:bCs w:val="0"/>
          <w:sz w:val="22"/>
          <w:szCs w:val="22"/>
          <w:lang w:val="en-GB"/>
        </w:rPr>
        <w:t xml:space="preserve">This intervention is relevant for the United Nations 2030 Agenda for Sustainable Development. It contributes primarily to the progressive achievement of </w:t>
      </w:r>
      <w:r w:rsidRPr="008E37A0">
        <w:rPr>
          <w:b w:val="0"/>
          <w:bCs w:val="0"/>
          <w:i/>
          <w:sz w:val="22"/>
          <w:szCs w:val="22"/>
          <w:lang w:val="en-GB"/>
        </w:rPr>
        <w:t>SDGs 3 (Good Health and Well-Being)</w:t>
      </w:r>
      <w:r w:rsidRPr="008E37A0">
        <w:rPr>
          <w:b w:val="0"/>
          <w:bCs w:val="0"/>
          <w:sz w:val="22"/>
          <w:szCs w:val="22"/>
          <w:lang w:val="en-GB"/>
        </w:rPr>
        <w:t xml:space="preserve">, </w:t>
      </w:r>
      <w:r w:rsidRPr="008E37A0">
        <w:rPr>
          <w:b w:val="0"/>
          <w:bCs w:val="0"/>
          <w:i/>
          <w:sz w:val="22"/>
          <w:szCs w:val="22"/>
          <w:lang w:val="en-GB"/>
        </w:rPr>
        <w:t>5 (Gender Equity)</w:t>
      </w:r>
      <w:r w:rsidRPr="008E37A0">
        <w:rPr>
          <w:b w:val="0"/>
          <w:bCs w:val="0"/>
          <w:sz w:val="22"/>
          <w:szCs w:val="22"/>
          <w:lang w:val="en-GB"/>
        </w:rPr>
        <w:t xml:space="preserve">, </w:t>
      </w:r>
      <w:r w:rsidRPr="008E37A0">
        <w:rPr>
          <w:b w:val="0"/>
          <w:bCs w:val="0"/>
          <w:i/>
          <w:sz w:val="22"/>
          <w:szCs w:val="22"/>
          <w:lang w:val="en-GB"/>
        </w:rPr>
        <w:t>16 (Peace, Justice and Strong Institutions)</w:t>
      </w:r>
      <w:r w:rsidRPr="008E37A0">
        <w:rPr>
          <w:b w:val="0"/>
          <w:bCs w:val="0"/>
          <w:sz w:val="22"/>
          <w:szCs w:val="22"/>
          <w:lang w:val="en-GB"/>
        </w:rPr>
        <w:t xml:space="preserve"> and </w:t>
      </w:r>
      <w:r w:rsidRPr="008E37A0">
        <w:rPr>
          <w:b w:val="0"/>
          <w:bCs w:val="0"/>
          <w:i/>
          <w:sz w:val="22"/>
          <w:szCs w:val="22"/>
          <w:lang w:val="en-GB"/>
        </w:rPr>
        <w:t>17 (Partnership for the Goals)</w:t>
      </w:r>
      <w:r w:rsidRPr="008E37A0">
        <w:rPr>
          <w:b w:val="0"/>
          <w:bCs w:val="0"/>
          <w:sz w:val="22"/>
          <w:szCs w:val="22"/>
          <w:lang w:val="en-GB"/>
        </w:rPr>
        <w:t xml:space="preserve"> through increased access to quality health care services by reducing out of pocket expenditure, providing integrated and comprehensive PHC services including immunization and preventive care. It is also contributing to </w:t>
      </w:r>
      <w:r w:rsidRPr="008E37A0">
        <w:rPr>
          <w:b w:val="0"/>
          <w:bCs w:val="0"/>
          <w:i/>
          <w:sz w:val="22"/>
          <w:szCs w:val="22"/>
          <w:lang w:val="en-GB"/>
        </w:rPr>
        <w:t>SDGs 1 (End Poverty)</w:t>
      </w:r>
      <w:r w:rsidRPr="008E37A0">
        <w:rPr>
          <w:b w:val="0"/>
          <w:bCs w:val="0"/>
          <w:sz w:val="22"/>
          <w:szCs w:val="22"/>
          <w:lang w:val="en-GB"/>
        </w:rPr>
        <w:t xml:space="preserve"> and </w:t>
      </w:r>
      <w:r w:rsidRPr="008E37A0">
        <w:rPr>
          <w:b w:val="0"/>
          <w:bCs w:val="0"/>
          <w:i/>
          <w:sz w:val="22"/>
          <w:szCs w:val="22"/>
          <w:lang w:val="en-GB"/>
        </w:rPr>
        <w:t>10 (Reduced Inequalities)</w:t>
      </w:r>
      <w:r w:rsidRPr="008E37A0">
        <w:rPr>
          <w:b w:val="0"/>
          <w:bCs w:val="0"/>
          <w:sz w:val="22"/>
          <w:szCs w:val="22"/>
          <w:lang w:val="en-GB"/>
        </w:rPr>
        <w:t>.</w:t>
      </w:r>
    </w:p>
    <w:p w14:paraId="0649157D" w14:textId="77777777" w:rsidR="00851239" w:rsidRPr="008E37A0" w:rsidRDefault="00851239" w:rsidP="00851239">
      <w:pPr>
        <w:pStyle w:val="Intestazione3"/>
        <w:rPr>
          <w:rStyle w:val="Nessuno"/>
          <w:i w:val="0"/>
          <w:iCs w:val="0"/>
          <w:sz w:val="22"/>
          <w:szCs w:val="22"/>
          <w:lang w:val="en-GB"/>
        </w:rPr>
      </w:pPr>
      <w:r w:rsidRPr="008E37A0">
        <w:rPr>
          <w:rStyle w:val="Nessuno"/>
          <w:i w:val="0"/>
          <w:iCs w:val="0"/>
          <w:sz w:val="22"/>
          <w:szCs w:val="22"/>
          <w:lang w:val="en-GB"/>
        </w:rPr>
        <w:t xml:space="preserve">SDGs 16 and 17 will be addressed primarily through component 1 for the effective governance and financing of the health sector whilst components 2 and 3 will address issues of quality and accessibility of care required for the achievement of SDGs 3 and 5. </w:t>
      </w:r>
    </w:p>
    <w:p w14:paraId="3CCA0925" w14:textId="77777777" w:rsidR="00851239" w:rsidRPr="008E37A0" w:rsidRDefault="00851239" w:rsidP="00851239">
      <w:pPr>
        <w:pStyle w:val="Intestazione3"/>
        <w:rPr>
          <w:rStyle w:val="Nessuno"/>
          <w:color w:val="auto"/>
          <w:sz w:val="22"/>
          <w:szCs w:val="22"/>
          <w:lang w:val="en-GB" w:eastAsia="en-US"/>
        </w:rPr>
      </w:pPr>
      <w:r w:rsidRPr="008E37A0">
        <w:rPr>
          <w:rStyle w:val="Nessuno"/>
          <w:i w:val="0"/>
          <w:iCs w:val="0"/>
          <w:sz w:val="22"/>
          <w:szCs w:val="22"/>
          <w:lang w:val="en-GB"/>
        </w:rPr>
        <w:t>Specific targets such as 'Universal Health Coverage Tracer Index (0-100)' (under SDG 3) and 'Demand for family planning satisfied by modern methods' (under SDG 5) are expected to be improved through the achievements</w:t>
      </w:r>
      <w:r w:rsidRPr="008E37A0">
        <w:rPr>
          <w:rStyle w:val="Nessuno"/>
          <w:i w:val="0"/>
          <w:sz w:val="22"/>
          <w:szCs w:val="22"/>
          <w:lang w:val="en-GB"/>
        </w:rPr>
        <w:t xml:space="preserve"> of this action</w:t>
      </w:r>
      <w:r w:rsidRPr="008E37A0">
        <w:rPr>
          <w:rStyle w:val="Nessuno"/>
          <w:sz w:val="22"/>
          <w:szCs w:val="22"/>
          <w:lang w:val="en-GB"/>
        </w:rPr>
        <w:t xml:space="preserve">.  </w:t>
      </w:r>
    </w:p>
    <w:p w14:paraId="029BEFA9" w14:textId="77777777" w:rsidR="00AE21A5" w:rsidRPr="008E37A0" w:rsidRDefault="00DF7D72" w:rsidP="00B76ECC">
      <w:pPr>
        <w:pStyle w:val="Intestazione"/>
        <w:numPr>
          <w:ilvl w:val="0"/>
          <w:numId w:val="17"/>
        </w:numPr>
        <w:rPr>
          <w:rStyle w:val="Nessuno"/>
        </w:rPr>
      </w:pPr>
      <w:r w:rsidRPr="008E37A0">
        <w:rPr>
          <w:rStyle w:val="Nessuno"/>
          <w:rFonts w:eastAsia="Arial Unicode MS"/>
        </w:rPr>
        <w:t xml:space="preserve">Implementation </w:t>
      </w:r>
    </w:p>
    <w:p w14:paraId="3345E0FD" w14:textId="77777777" w:rsidR="00AE21A5" w:rsidRPr="008E37A0" w:rsidRDefault="00B60082" w:rsidP="00D54AF1">
      <w:pPr>
        <w:pStyle w:val="Intestazione2"/>
        <w:tabs>
          <w:tab w:val="clear" w:pos="360"/>
        </w:tabs>
        <w:rPr>
          <w:lang w:val="en-GB"/>
        </w:rPr>
      </w:pPr>
      <w:bookmarkStart w:id="2" w:name="_Ref399942547"/>
      <w:r w:rsidRPr="008E37A0">
        <w:rPr>
          <w:lang w:val="en-GB"/>
        </w:rPr>
        <w:t>5.1</w:t>
      </w:r>
      <w:r w:rsidRPr="008E37A0">
        <w:rPr>
          <w:lang w:val="en-GB"/>
        </w:rPr>
        <w:tab/>
      </w:r>
      <w:r w:rsidR="00DF7D72" w:rsidRPr="008E37A0">
        <w:rPr>
          <w:lang w:val="en-GB"/>
        </w:rPr>
        <w:t>Financing agreement</w:t>
      </w:r>
      <w:bookmarkEnd w:id="2"/>
    </w:p>
    <w:p w14:paraId="7E08A294" w14:textId="46B726D3" w:rsidR="004F648F" w:rsidRPr="008E37A0" w:rsidRDefault="00DF7D72" w:rsidP="00D54AF1">
      <w:pPr>
        <w:pStyle w:val="Corpo"/>
        <w:spacing w:after="120"/>
        <w:jc w:val="both"/>
        <w:rPr>
          <w:rStyle w:val="Nessuno"/>
          <w:sz w:val="22"/>
          <w:szCs w:val="22"/>
        </w:rPr>
      </w:pPr>
      <w:r w:rsidRPr="008E37A0">
        <w:rPr>
          <w:rStyle w:val="Nessuno"/>
          <w:sz w:val="22"/>
          <w:szCs w:val="22"/>
        </w:rPr>
        <w:t>In order to implement this action, it is foreseen to conclude a financing agreement with the partner country.</w:t>
      </w:r>
    </w:p>
    <w:p w14:paraId="2C51F084" w14:textId="77777777" w:rsidR="00AE21A5" w:rsidRPr="008E37A0" w:rsidRDefault="00A400C9" w:rsidP="00D54AF1">
      <w:pPr>
        <w:pStyle w:val="Intestazione2"/>
        <w:tabs>
          <w:tab w:val="clear" w:pos="360"/>
        </w:tabs>
        <w:ind w:left="0" w:firstLine="0"/>
        <w:rPr>
          <w:lang w:val="en-GB"/>
        </w:rPr>
      </w:pPr>
      <w:r w:rsidRPr="008E37A0">
        <w:rPr>
          <w:lang w:val="en-GB"/>
        </w:rPr>
        <w:t>5.2</w:t>
      </w:r>
      <w:r w:rsidRPr="008E37A0">
        <w:rPr>
          <w:lang w:val="en-GB"/>
        </w:rPr>
        <w:tab/>
      </w:r>
      <w:r w:rsidR="00DF7D72" w:rsidRPr="008E37A0">
        <w:rPr>
          <w:lang w:val="en-GB"/>
        </w:rPr>
        <w:t xml:space="preserve">Indicative implementation period </w:t>
      </w:r>
    </w:p>
    <w:p w14:paraId="28152E8F" w14:textId="59C93AF4" w:rsidR="00AE21A5" w:rsidRDefault="00DF7D72" w:rsidP="00D54AF1">
      <w:pPr>
        <w:pStyle w:val="Intestazione3"/>
        <w:rPr>
          <w:rStyle w:val="Nessuno"/>
          <w:i w:val="0"/>
          <w:iCs w:val="0"/>
          <w:sz w:val="22"/>
          <w:szCs w:val="22"/>
          <w:lang w:val="en-GB"/>
        </w:rPr>
      </w:pPr>
      <w:r w:rsidRPr="008E37A0">
        <w:rPr>
          <w:rStyle w:val="Nessuno"/>
          <w:i w:val="0"/>
          <w:iCs w:val="0"/>
          <w:sz w:val="22"/>
          <w:szCs w:val="22"/>
          <w:lang w:val="en-GB"/>
        </w:rPr>
        <w:t xml:space="preserve">The indicative operational implementation period of this action, during which the activities described in </w:t>
      </w:r>
      <w:r w:rsidR="006B6FC9" w:rsidRPr="008E37A0">
        <w:rPr>
          <w:rStyle w:val="Nessuno"/>
          <w:i w:val="0"/>
          <w:iCs w:val="0"/>
          <w:sz w:val="22"/>
          <w:szCs w:val="22"/>
          <w:lang w:val="en-GB"/>
        </w:rPr>
        <w:t>S</w:t>
      </w:r>
      <w:r w:rsidRPr="008E37A0">
        <w:rPr>
          <w:rStyle w:val="Nessuno"/>
          <w:i w:val="0"/>
          <w:iCs w:val="0"/>
          <w:sz w:val="22"/>
          <w:szCs w:val="22"/>
          <w:lang w:val="en-GB"/>
        </w:rPr>
        <w:t>ection 4 will be carried out and the corresponding contracts and agreements implemented, is 48 months from the date of entry into force of the financing agreement.</w:t>
      </w:r>
      <w:r w:rsidR="00892D5C" w:rsidRPr="008E37A0">
        <w:rPr>
          <w:rStyle w:val="Nessuno"/>
          <w:i w:val="0"/>
          <w:iCs w:val="0"/>
          <w:sz w:val="22"/>
          <w:szCs w:val="22"/>
          <w:lang w:val="en-GB"/>
        </w:rPr>
        <w:t xml:space="preserve"> </w:t>
      </w:r>
      <w:r w:rsidRPr="008E37A0">
        <w:rPr>
          <w:rStyle w:val="Nessuno"/>
          <w:i w:val="0"/>
          <w:iCs w:val="0"/>
          <w:sz w:val="22"/>
          <w:szCs w:val="22"/>
          <w:lang w:val="en-GB"/>
        </w:rPr>
        <w:t>Extensions of the implementation period</w:t>
      </w:r>
      <w:r w:rsidR="0083104B">
        <w:rPr>
          <w:rStyle w:val="Nessuno"/>
          <w:i w:val="0"/>
          <w:iCs w:val="0"/>
          <w:sz w:val="22"/>
          <w:szCs w:val="22"/>
          <w:lang w:val="en-GB"/>
        </w:rPr>
        <w:t xml:space="preserve"> </w:t>
      </w:r>
      <w:r w:rsidRPr="008E37A0">
        <w:rPr>
          <w:rStyle w:val="Nessuno"/>
          <w:i w:val="0"/>
          <w:iCs w:val="0"/>
          <w:sz w:val="22"/>
          <w:szCs w:val="22"/>
          <w:lang w:val="en-GB"/>
        </w:rPr>
        <w:t xml:space="preserve">may be agreed by the Commission’s responsible authorising officer by amending this Decision and the relevant contracts and agreements. </w:t>
      </w:r>
    </w:p>
    <w:p w14:paraId="17E77BE2" w14:textId="7B4B15D1" w:rsidR="0083104B" w:rsidRPr="0083104B" w:rsidRDefault="0083104B" w:rsidP="0083104B">
      <w:pPr>
        <w:pStyle w:val="Corpo"/>
        <w:rPr>
          <w:sz w:val="22"/>
          <w:szCs w:val="22"/>
        </w:rPr>
      </w:pPr>
      <w:r w:rsidRPr="0083104B">
        <w:rPr>
          <w:sz w:val="22"/>
          <w:szCs w:val="22"/>
        </w:rPr>
        <w:t>The timing of this action will align with the new National Health Strategy (NHS). It is expected that the MoIDPLHSA and the MoF will show impetus for focused actions to further support mentioned implementation.</w:t>
      </w:r>
    </w:p>
    <w:p w14:paraId="08BE6F03" w14:textId="70A3105B" w:rsidR="0083104B" w:rsidRDefault="0083104B" w:rsidP="0083104B">
      <w:pPr>
        <w:pStyle w:val="Corpo"/>
      </w:pPr>
    </w:p>
    <w:p w14:paraId="0DF156A0" w14:textId="77777777" w:rsidR="00AE21A5" w:rsidRPr="008E37A0" w:rsidRDefault="00A400C9" w:rsidP="00D54AF1">
      <w:pPr>
        <w:pStyle w:val="Intestazione2"/>
        <w:ind w:left="576" w:hanging="576"/>
        <w:rPr>
          <w:lang w:val="en-GB"/>
        </w:rPr>
      </w:pPr>
      <w:r w:rsidRPr="008E37A0">
        <w:rPr>
          <w:lang w:val="en-GB"/>
        </w:rPr>
        <w:lastRenderedPageBreak/>
        <w:t xml:space="preserve">5.3 </w:t>
      </w:r>
      <w:r w:rsidRPr="008E37A0">
        <w:rPr>
          <w:lang w:val="en-GB"/>
        </w:rPr>
        <w:tab/>
      </w:r>
      <w:r w:rsidRPr="008E37A0">
        <w:rPr>
          <w:lang w:val="en-GB"/>
        </w:rPr>
        <w:tab/>
      </w:r>
      <w:r w:rsidR="00DF7D72" w:rsidRPr="008E37A0">
        <w:rPr>
          <w:lang w:val="en-GB"/>
        </w:rPr>
        <w:t xml:space="preserve">Implementation modality </w:t>
      </w:r>
    </w:p>
    <w:p w14:paraId="7E94E501" w14:textId="77777777" w:rsidR="00AE21A5" w:rsidRPr="008E37A0" w:rsidRDefault="00DF7D72" w:rsidP="00D54AF1">
      <w:pPr>
        <w:pStyle w:val="Text2"/>
        <w:ind w:left="0"/>
        <w:rPr>
          <w:rStyle w:val="Nessuno"/>
          <w:sz w:val="22"/>
          <w:szCs w:val="22"/>
          <w:lang w:val="en-GB"/>
        </w:rPr>
      </w:pPr>
      <w:r w:rsidRPr="008E37A0">
        <w:rPr>
          <w:rStyle w:val="Nessuno"/>
          <w:sz w:val="22"/>
          <w:szCs w:val="22"/>
          <w:lang w:val="en-GB"/>
        </w:rPr>
        <w:t>The Commission will ensure that the EU appropriate rules and procedures for providing financing to third parties are respected, including review procedures, where appropriate, and compliance of the action with EU restrictive measures</w:t>
      </w:r>
      <w:r w:rsidRPr="008E37A0">
        <w:rPr>
          <w:rStyle w:val="Nessuno"/>
          <w:sz w:val="22"/>
          <w:szCs w:val="22"/>
          <w:vertAlign w:val="superscript"/>
          <w:lang w:val="en-GB"/>
        </w:rPr>
        <w:footnoteReference w:id="22"/>
      </w:r>
      <w:r w:rsidRPr="008E37A0">
        <w:rPr>
          <w:rStyle w:val="Nessuno"/>
          <w:sz w:val="22"/>
          <w:szCs w:val="22"/>
          <w:lang w:val="en-GB"/>
        </w:rPr>
        <w:t>.</w:t>
      </w:r>
    </w:p>
    <w:p w14:paraId="0C63D490" w14:textId="77777777" w:rsidR="00AE21A5" w:rsidRPr="008E37A0" w:rsidRDefault="00B60082" w:rsidP="00D54AF1">
      <w:pPr>
        <w:pStyle w:val="Intestazione3"/>
        <w:rPr>
          <w:lang w:val="en-GB"/>
        </w:rPr>
      </w:pPr>
      <w:r w:rsidRPr="008E37A0">
        <w:rPr>
          <w:lang w:val="en-GB"/>
        </w:rPr>
        <w:t>5.3.1</w:t>
      </w:r>
      <w:r w:rsidRPr="008E37A0">
        <w:rPr>
          <w:lang w:val="en-GB"/>
        </w:rPr>
        <w:tab/>
      </w:r>
      <w:r w:rsidR="00DF7D72" w:rsidRPr="008E37A0">
        <w:rPr>
          <w:lang w:val="en-GB"/>
        </w:rPr>
        <w:t>Indirect management with an international organisation</w:t>
      </w:r>
    </w:p>
    <w:p w14:paraId="56F1F06D" w14:textId="1E9AD9BA" w:rsidR="0018536B" w:rsidRPr="008E37A0" w:rsidRDefault="00C2184A" w:rsidP="00F95686">
      <w:pPr>
        <w:pStyle w:val="Corpo"/>
        <w:spacing w:after="120"/>
        <w:jc w:val="both"/>
        <w:rPr>
          <w:rStyle w:val="Nessuno"/>
          <w:sz w:val="22"/>
          <w:szCs w:val="22"/>
        </w:rPr>
      </w:pPr>
      <w:r w:rsidRPr="008E37A0">
        <w:rPr>
          <w:rStyle w:val="Nessuno"/>
          <w:sz w:val="22"/>
          <w:szCs w:val="22"/>
        </w:rPr>
        <w:t xml:space="preserve">Component </w:t>
      </w:r>
      <w:r w:rsidR="0002292F" w:rsidRPr="008E37A0">
        <w:rPr>
          <w:rStyle w:val="Nessuno"/>
          <w:sz w:val="22"/>
          <w:szCs w:val="22"/>
        </w:rPr>
        <w:t>1 of</w:t>
      </w:r>
      <w:r w:rsidR="00DF7D72" w:rsidRPr="008E37A0">
        <w:rPr>
          <w:rStyle w:val="Nessuno"/>
          <w:sz w:val="22"/>
          <w:szCs w:val="22"/>
        </w:rPr>
        <w:t xml:space="preserve"> this action may be implemented in indirect management with </w:t>
      </w:r>
      <w:r w:rsidR="00F95686" w:rsidRPr="008E37A0">
        <w:rPr>
          <w:rStyle w:val="Nessuno"/>
          <w:sz w:val="22"/>
          <w:szCs w:val="22"/>
        </w:rPr>
        <w:t>an</w:t>
      </w:r>
      <w:r w:rsidR="0002292F" w:rsidRPr="008E37A0">
        <w:rPr>
          <w:rStyle w:val="Nessuno"/>
          <w:sz w:val="22"/>
          <w:szCs w:val="22"/>
        </w:rPr>
        <w:t xml:space="preserve"> </w:t>
      </w:r>
      <w:r w:rsidR="00DF7D72" w:rsidRPr="008E37A0">
        <w:rPr>
          <w:rStyle w:val="Nessuno"/>
          <w:sz w:val="22"/>
          <w:szCs w:val="22"/>
        </w:rPr>
        <w:t>entit</w:t>
      </w:r>
      <w:r w:rsidR="00F95686" w:rsidRPr="008E37A0">
        <w:rPr>
          <w:rStyle w:val="Nessuno"/>
          <w:sz w:val="22"/>
          <w:szCs w:val="22"/>
        </w:rPr>
        <w:t>y,</w:t>
      </w:r>
      <w:r w:rsidR="00DF7D72" w:rsidRPr="008E37A0">
        <w:rPr>
          <w:rStyle w:val="Nessuno"/>
          <w:sz w:val="22"/>
          <w:szCs w:val="22"/>
        </w:rPr>
        <w:t xml:space="preserve"> which will be selected by the Commission’s services using the following criteria: international organisation involved in health sector policy and financing</w:t>
      </w:r>
      <w:r w:rsidR="0002292F" w:rsidRPr="008E37A0">
        <w:rPr>
          <w:rStyle w:val="Nessuno"/>
          <w:sz w:val="22"/>
          <w:szCs w:val="22"/>
        </w:rPr>
        <w:t xml:space="preserve"> (</w:t>
      </w:r>
      <w:r w:rsidR="006B6FC9" w:rsidRPr="008E37A0">
        <w:rPr>
          <w:rStyle w:val="Nessuno"/>
          <w:sz w:val="22"/>
          <w:szCs w:val="22"/>
        </w:rPr>
        <w:t>C</w:t>
      </w:r>
      <w:r w:rsidR="00476D8A" w:rsidRPr="008E37A0">
        <w:rPr>
          <w:rStyle w:val="Nessuno"/>
          <w:sz w:val="22"/>
          <w:szCs w:val="22"/>
        </w:rPr>
        <w:t>omponent</w:t>
      </w:r>
      <w:r w:rsidR="0002292F" w:rsidRPr="008E37A0">
        <w:rPr>
          <w:rStyle w:val="Nessuno"/>
          <w:sz w:val="22"/>
          <w:szCs w:val="22"/>
        </w:rPr>
        <w:t xml:space="preserve"> 1)</w:t>
      </w:r>
      <w:r w:rsidR="00DF7D72" w:rsidRPr="008E37A0">
        <w:rPr>
          <w:rStyle w:val="Nessuno"/>
          <w:sz w:val="22"/>
          <w:szCs w:val="22"/>
        </w:rPr>
        <w:t xml:space="preserve"> with existing strong collaboration with the </w:t>
      </w:r>
      <w:r w:rsidR="00F95686" w:rsidRPr="008E37A0">
        <w:rPr>
          <w:sz w:val="22"/>
          <w:szCs w:val="22"/>
        </w:rPr>
        <w:t>MoIDPLHSA</w:t>
      </w:r>
      <w:r w:rsidR="00DF7D72" w:rsidRPr="008E37A0">
        <w:rPr>
          <w:rStyle w:val="Nessuno"/>
          <w:sz w:val="22"/>
          <w:szCs w:val="22"/>
        </w:rPr>
        <w:t xml:space="preserve">. The organisation must have proven operational capacity to implement the </w:t>
      </w:r>
      <w:r w:rsidR="00B37755" w:rsidRPr="008E37A0">
        <w:rPr>
          <w:rStyle w:val="Nessuno"/>
          <w:sz w:val="22"/>
          <w:szCs w:val="22"/>
        </w:rPr>
        <w:t xml:space="preserve">assigned </w:t>
      </w:r>
      <w:r w:rsidR="00CB6BEF" w:rsidRPr="008E37A0">
        <w:rPr>
          <w:rStyle w:val="Nessuno"/>
          <w:sz w:val="22"/>
          <w:szCs w:val="22"/>
        </w:rPr>
        <w:t>output</w:t>
      </w:r>
      <w:r w:rsidR="00690F05" w:rsidRPr="008E37A0">
        <w:rPr>
          <w:rStyle w:val="Nessuno"/>
          <w:sz w:val="22"/>
          <w:szCs w:val="22"/>
        </w:rPr>
        <w:t>s</w:t>
      </w:r>
      <w:r w:rsidR="00CB6BEF" w:rsidRPr="008E37A0">
        <w:rPr>
          <w:rStyle w:val="Nessuno"/>
          <w:sz w:val="22"/>
          <w:szCs w:val="22"/>
        </w:rPr>
        <w:t xml:space="preserve"> </w:t>
      </w:r>
      <w:r w:rsidR="00DF7D72" w:rsidRPr="008E37A0">
        <w:rPr>
          <w:rStyle w:val="Nessuno"/>
          <w:sz w:val="22"/>
          <w:szCs w:val="22"/>
        </w:rPr>
        <w:t xml:space="preserve">of the action, proven </w:t>
      </w:r>
      <w:r w:rsidR="00677057" w:rsidRPr="008E37A0">
        <w:rPr>
          <w:rStyle w:val="Nessuno"/>
          <w:sz w:val="22"/>
          <w:szCs w:val="22"/>
        </w:rPr>
        <w:t xml:space="preserve">an </w:t>
      </w:r>
      <w:r w:rsidR="00DF7D72" w:rsidRPr="008E37A0">
        <w:rPr>
          <w:rStyle w:val="Nessuno"/>
          <w:sz w:val="22"/>
          <w:szCs w:val="22"/>
        </w:rPr>
        <w:t>added value in terms of expertise and internal resources, transparency and absence of conflict of interest. The implementation by th</w:t>
      </w:r>
      <w:r w:rsidR="00F95686" w:rsidRPr="008E37A0">
        <w:rPr>
          <w:rStyle w:val="Nessuno"/>
          <w:sz w:val="22"/>
          <w:szCs w:val="22"/>
        </w:rPr>
        <w:t>is</w:t>
      </w:r>
      <w:r w:rsidR="00DF7D72" w:rsidRPr="008E37A0">
        <w:rPr>
          <w:rStyle w:val="Nessuno"/>
          <w:sz w:val="22"/>
          <w:szCs w:val="22"/>
        </w:rPr>
        <w:t xml:space="preserve"> entit</w:t>
      </w:r>
      <w:r w:rsidR="00F95686" w:rsidRPr="008E37A0">
        <w:rPr>
          <w:rStyle w:val="Nessuno"/>
          <w:sz w:val="22"/>
          <w:szCs w:val="22"/>
        </w:rPr>
        <w:t>y</w:t>
      </w:r>
      <w:r w:rsidR="00DF7D72" w:rsidRPr="008E37A0">
        <w:rPr>
          <w:rStyle w:val="Nessuno"/>
          <w:sz w:val="22"/>
          <w:szCs w:val="22"/>
        </w:rPr>
        <w:t xml:space="preserve"> entails the implementation of </w:t>
      </w:r>
      <w:r w:rsidR="006B6FC9" w:rsidRPr="008E37A0">
        <w:rPr>
          <w:rStyle w:val="Nessuno"/>
          <w:sz w:val="22"/>
          <w:szCs w:val="22"/>
        </w:rPr>
        <w:t>C</w:t>
      </w:r>
      <w:r w:rsidRPr="008E37A0">
        <w:rPr>
          <w:rStyle w:val="Nessuno"/>
          <w:sz w:val="22"/>
          <w:szCs w:val="22"/>
        </w:rPr>
        <w:t xml:space="preserve">omponent </w:t>
      </w:r>
      <w:r w:rsidR="00DF7D72" w:rsidRPr="008E37A0">
        <w:rPr>
          <w:rStyle w:val="Nessuno"/>
          <w:sz w:val="22"/>
          <w:szCs w:val="22"/>
        </w:rPr>
        <w:t xml:space="preserve">1 of the proposed action for the achievement of </w:t>
      </w:r>
      <w:r w:rsidR="006341B6" w:rsidRPr="008E37A0">
        <w:rPr>
          <w:rStyle w:val="Nessuno"/>
          <w:sz w:val="22"/>
          <w:szCs w:val="22"/>
        </w:rPr>
        <w:t>governance</w:t>
      </w:r>
      <w:r w:rsidR="00F95686" w:rsidRPr="008E37A0">
        <w:rPr>
          <w:rStyle w:val="Nessuno"/>
          <w:sz w:val="22"/>
          <w:szCs w:val="22"/>
        </w:rPr>
        <w:t xml:space="preserve"> and </w:t>
      </w:r>
      <w:r w:rsidR="00DF7D72" w:rsidRPr="008E37A0">
        <w:rPr>
          <w:rStyle w:val="Nessuno"/>
          <w:sz w:val="22"/>
          <w:szCs w:val="22"/>
        </w:rPr>
        <w:t xml:space="preserve">financing </w:t>
      </w:r>
      <w:r w:rsidR="00DF7D72" w:rsidRPr="008E37A0">
        <w:rPr>
          <w:rStyle w:val="Nessuno"/>
          <w:rFonts w:eastAsia="Arial Unicode MS" w:cs="Arial Unicode MS"/>
          <w:sz w:val="22"/>
          <w:szCs w:val="22"/>
        </w:rPr>
        <w:t xml:space="preserve">as well as collaboration with the </w:t>
      </w:r>
      <w:r w:rsidR="006B6FC9" w:rsidRPr="008E37A0">
        <w:rPr>
          <w:rStyle w:val="Nessuno"/>
          <w:rFonts w:eastAsia="Arial Unicode MS" w:cs="Arial Unicode MS"/>
          <w:sz w:val="22"/>
          <w:szCs w:val="22"/>
        </w:rPr>
        <w:t>C</w:t>
      </w:r>
      <w:r w:rsidR="00690F05" w:rsidRPr="008E37A0">
        <w:rPr>
          <w:rStyle w:val="Nessuno"/>
          <w:rFonts w:eastAsia="Arial Unicode MS" w:cs="Arial Unicode MS"/>
          <w:sz w:val="22"/>
          <w:szCs w:val="22"/>
        </w:rPr>
        <w:t>omponent</w:t>
      </w:r>
      <w:r w:rsidR="00F95686" w:rsidRPr="008E37A0">
        <w:rPr>
          <w:rStyle w:val="Nessuno"/>
          <w:rFonts w:eastAsia="Arial Unicode MS" w:cs="Arial Unicode MS"/>
          <w:sz w:val="22"/>
          <w:szCs w:val="22"/>
        </w:rPr>
        <w:t>s</w:t>
      </w:r>
      <w:r w:rsidR="00690F05" w:rsidRPr="008E37A0">
        <w:rPr>
          <w:rStyle w:val="Nessuno"/>
          <w:rFonts w:eastAsia="Arial Unicode MS" w:cs="Arial Unicode MS"/>
          <w:sz w:val="22"/>
          <w:szCs w:val="22"/>
        </w:rPr>
        <w:t xml:space="preserve"> 2 </w:t>
      </w:r>
      <w:r w:rsidR="00F95686" w:rsidRPr="008E37A0">
        <w:rPr>
          <w:rStyle w:val="Nessuno"/>
          <w:rFonts w:eastAsia="Arial Unicode MS" w:cs="Arial Unicode MS"/>
          <w:sz w:val="22"/>
          <w:szCs w:val="22"/>
        </w:rPr>
        <w:t xml:space="preserve">and 3 </w:t>
      </w:r>
      <w:r w:rsidR="00DF7D72" w:rsidRPr="008E37A0">
        <w:rPr>
          <w:rStyle w:val="Nessuno"/>
          <w:rFonts w:eastAsia="Arial Unicode MS" w:cs="Arial Unicode MS"/>
          <w:sz w:val="22"/>
          <w:szCs w:val="22"/>
        </w:rPr>
        <w:t>of the action to ensure coherence and complementarity of the action.</w:t>
      </w:r>
      <w:r w:rsidR="00F95686" w:rsidRPr="008E37A0">
        <w:rPr>
          <w:rStyle w:val="Nessuno"/>
          <w:rFonts w:eastAsia="Arial Unicode MS" w:cs="Arial Unicode MS"/>
          <w:sz w:val="22"/>
          <w:szCs w:val="22"/>
        </w:rPr>
        <w:t xml:space="preserve"> </w:t>
      </w:r>
      <w:r w:rsidR="00DF7D72" w:rsidRPr="008E37A0">
        <w:rPr>
          <w:rStyle w:val="Nessuno"/>
          <w:sz w:val="22"/>
          <w:szCs w:val="22"/>
        </w:rPr>
        <w:t>In case the envisaged entit</w:t>
      </w:r>
      <w:r w:rsidR="00F95686" w:rsidRPr="008E37A0">
        <w:rPr>
          <w:rStyle w:val="Nessuno"/>
          <w:sz w:val="22"/>
          <w:szCs w:val="22"/>
        </w:rPr>
        <w:t>y</w:t>
      </w:r>
      <w:r w:rsidR="00DF7D72" w:rsidRPr="008E37A0">
        <w:rPr>
          <w:rStyle w:val="Nessuno"/>
          <w:sz w:val="22"/>
          <w:szCs w:val="22"/>
        </w:rPr>
        <w:t xml:space="preserve"> would need to be replaced, the Commission’s services may select a replacement entity using the same criteria. If the entity is replaced the decision to replace it needs to be justified.</w:t>
      </w:r>
    </w:p>
    <w:p w14:paraId="3FFACDEA" w14:textId="77777777" w:rsidR="00594EF9" w:rsidRPr="00594EF9" w:rsidRDefault="00594EF9" w:rsidP="00594EF9">
      <w:pPr>
        <w:pStyle w:val="Corpo"/>
        <w:spacing w:after="120"/>
        <w:jc w:val="both"/>
        <w:rPr>
          <w:sz w:val="22"/>
          <w:szCs w:val="22"/>
        </w:rPr>
      </w:pPr>
      <w:r w:rsidRPr="00594EF9">
        <w:rPr>
          <w:sz w:val="22"/>
          <w:szCs w:val="22"/>
        </w:rPr>
        <w:t xml:space="preserve">WHO works worldwide to promote health, keep the world safe, and serve the vulnerable. Its goal is to achieve universal health coverage, to protect people from health emergencies, and to provide people with better health and well-being. To achieve UHC in particular, WHO focuses on primary health care strengthening to improve access to quality essential service in conjunction and by the means of achieving (i) sustainable financing and financial protection of population, (ii) improved access to essential medicines and health products; (iii) improving governance and leadership. In Georgia, WHO has supported institutional development and implementation of health policies and reforms. The EU’s support to WHO through direct projects and the UHC-P enabled WHO to provide timely and scaled technical assistance (TA). </w:t>
      </w:r>
    </w:p>
    <w:p w14:paraId="724FF996" w14:textId="77777777" w:rsidR="00594EF9" w:rsidRPr="00594EF9" w:rsidRDefault="00594EF9" w:rsidP="00594EF9">
      <w:pPr>
        <w:pStyle w:val="Corpo"/>
        <w:spacing w:after="120"/>
        <w:jc w:val="both"/>
        <w:rPr>
          <w:sz w:val="22"/>
          <w:szCs w:val="22"/>
        </w:rPr>
      </w:pPr>
      <w:r w:rsidRPr="00594EF9">
        <w:rPr>
          <w:sz w:val="22"/>
          <w:szCs w:val="22"/>
        </w:rPr>
        <w:t xml:space="preserve">The WHO Country Office will be the main implementing arm of the action with technical support from the Division of Health Systems and Public Health of the WHO Regional Office for Europe. WHO is ideally placed to play a convening and coordinating role in the context of the action in Georgia, notably to ensure full coherence and synergy between the activities as well as the national policy programmes and activities. </w:t>
      </w:r>
    </w:p>
    <w:p w14:paraId="359F7E60" w14:textId="3F2FED7D" w:rsidR="00594EF9" w:rsidRPr="008E37A0" w:rsidRDefault="00594EF9" w:rsidP="00F95686">
      <w:pPr>
        <w:pStyle w:val="Corpo"/>
        <w:spacing w:after="120"/>
        <w:jc w:val="both"/>
        <w:rPr>
          <w:sz w:val="22"/>
          <w:szCs w:val="22"/>
        </w:rPr>
      </w:pPr>
      <w:r w:rsidRPr="00594EF9">
        <w:rPr>
          <w:sz w:val="22"/>
          <w:szCs w:val="22"/>
        </w:rPr>
        <w:t xml:space="preserve">WHO is the coordinating agency of the Health Development Programme as a whole. WHO's unique convening and coordinating role in the health sector, not least during outbreaks and emergencies, allows the Organization to facilitate the dialogue with the governmental national counterparts and across development partners, other agencies of the United Nations and non-state actors. WHO is well-positioned as privileged interlocutor with the </w:t>
      </w:r>
      <w:r w:rsidRPr="008E37A0">
        <w:rPr>
          <w:sz w:val="22"/>
          <w:szCs w:val="22"/>
        </w:rPr>
        <w:t xml:space="preserve">MoIDPLHSA </w:t>
      </w:r>
      <w:r w:rsidRPr="00594EF9">
        <w:rPr>
          <w:sz w:val="22"/>
          <w:szCs w:val="22"/>
        </w:rPr>
        <w:t xml:space="preserve">and the MoF to voice concerns and provide options for ensuring the protection of the most vulnerable ones while keeping focused on population health improvements tackling the causes of ill-health upstream.  </w:t>
      </w:r>
    </w:p>
    <w:p w14:paraId="4D8404D1" w14:textId="16D8DFA2" w:rsidR="00594EF9" w:rsidRPr="00594EF9" w:rsidRDefault="00594EF9" w:rsidP="00594EF9">
      <w:pPr>
        <w:pStyle w:val="Corpo"/>
        <w:spacing w:after="120"/>
        <w:jc w:val="both"/>
        <w:rPr>
          <w:sz w:val="22"/>
          <w:szCs w:val="22"/>
        </w:rPr>
      </w:pPr>
      <w:r w:rsidRPr="00594EF9">
        <w:rPr>
          <w:sz w:val="22"/>
          <w:szCs w:val="22"/>
        </w:rPr>
        <w:t xml:space="preserve">Indirect management with WHO as an international organization will allow the delivery of a component of a multi-component assistance programme (combining TA and programme coordination) through one contract with increased efficiency at reduced cost. The UHC Partnership, financed by the EU and other partners and implemented by WHO, aims to promote UHC by fostering policy dialogues on strategic planning and health systems governance, developing health financing strategies and supporting their implementation, and enabling effective development cooperation. To complement the existing UHC-Partnership efforts in Georgia, this action proposes to accelerate the work of WHO and the </w:t>
      </w:r>
      <w:r w:rsidRPr="008E37A0">
        <w:rPr>
          <w:sz w:val="22"/>
          <w:szCs w:val="22"/>
        </w:rPr>
        <w:t xml:space="preserve">MoIDPLHSA </w:t>
      </w:r>
      <w:r w:rsidRPr="00594EF9">
        <w:rPr>
          <w:sz w:val="22"/>
          <w:szCs w:val="22"/>
        </w:rPr>
        <w:t xml:space="preserve">in achieving the objectives of their UHC-Partnership through an indirect management contract with an international organisation. The outputs will focus on supporting the evidence based </w:t>
      </w:r>
      <w:r w:rsidRPr="00594EF9">
        <w:rPr>
          <w:sz w:val="22"/>
          <w:szCs w:val="22"/>
        </w:rPr>
        <w:lastRenderedPageBreak/>
        <w:t xml:space="preserve">strategic planning efforts of the </w:t>
      </w:r>
      <w:r w:rsidRPr="008E37A0">
        <w:rPr>
          <w:sz w:val="22"/>
          <w:szCs w:val="22"/>
        </w:rPr>
        <w:t>MoIDPLHSA</w:t>
      </w:r>
      <w:r w:rsidRPr="00594EF9">
        <w:rPr>
          <w:sz w:val="22"/>
          <w:szCs w:val="22"/>
        </w:rPr>
        <w:t>, coordination of aid especially in HSS efforts between GHIs, international and national partners and stakeholders as well as improving human resources, pharmaceutical and HMIS regulation and processes.</w:t>
      </w:r>
    </w:p>
    <w:p w14:paraId="4A5CCB4A" w14:textId="41656F7F" w:rsidR="00AE21A5" w:rsidRPr="008E37A0" w:rsidRDefault="00B60082" w:rsidP="00212975">
      <w:pPr>
        <w:pStyle w:val="Text2"/>
        <w:ind w:left="0"/>
        <w:rPr>
          <w:i/>
          <w:iCs/>
          <w:lang w:val="en-GB"/>
        </w:rPr>
      </w:pPr>
      <w:r w:rsidRPr="008E37A0">
        <w:rPr>
          <w:i/>
          <w:iCs/>
          <w:lang w:val="en-GB"/>
        </w:rPr>
        <w:t>5.3.2</w:t>
      </w:r>
      <w:r w:rsidRPr="008E37A0">
        <w:rPr>
          <w:i/>
          <w:iCs/>
          <w:lang w:val="en-GB"/>
        </w:rPr>
        <w:tab/>
      </w:r>
      <w:r w:rsidR="00DF7D72" w:rsidRPr="008E37A0">
        <w:rPr>
          <w:i/>
          <w:iCs/>
          <w:lang w:val="en-GB"/>
        </w:rPr>
        <w:t>Indirect management with a Member State Organisation</w:t>
      </w:r>
    </w:p>
    <w:p w14:paraId="598B8582" w14:textId="413F54DF" w:rsidR="00AE21A5" w:rsidRPr="008E37A0" w:rsidRDefault="00C2184A" w:rsidP="00F95686">
      <w:pPr>
        <w:pStyle w:val="Intestazione3"/>
        <w:rPr>
          <w:rStyle w:val="Nessuno"/>
          <w:i w:val="0"/>
          <w:iCs w:val="0"/>
          <w:sz w:val="22"/>
          <w:szCs w:val="22"/>
          <w:lang w:val="en-GB"/>
        </w:rPr>
      </w:pPr>
      <w:r w:rsidRPr="008E37A0">
        <w:rPr>
          <w:rStyle w:val="Nessuno"/>
          <w:i w:val="0"/>
          <w:iCs w:val="0"/>
          <w:sz w:val="22"/>
          <w:szCs w:val="22"/>
          <w:lang w:val="en-GB"/>
        </w:rPr>
        <w:t>Component</w:t>
      </w:r>
      <w:r w:rsidR="00F95686" w:rsidRPr="008E37A0">
        <w:rPr>
          <w:rStyle w:val="Nessuno"/>
          <w:i w:val="0"/>
          <w:iCs w:val="0"/>
          <w:sz w:val="22"/>
          <w:szCs w:val="22"/>
          <w:lang w:val="en-GB"/>
        </w:rPr>
        <w:t>s</w:t>
      </w:r>
      <w:r w:rsidRPr="008E37A0">
        <w:rPr>
          <w:rStyle w:val="Nessuno"/>
          <w:i w:val="0"/>
          <w:iCs w:val="0"/>
          <w:sz w:val="22"/>
          <w:szCs w:val="22"/>
          <w:lang w:val="en-GB"/>
        </w:rPr>
        <w:t xml:space="preserve"> </w:t>
      </w:r>
      <w:r w:rsidR="0002292F" w:rsidRPr="008E37A0">
        <w:rPr>
          <w:rStyle w:val="Nessuno"/>
          <w:i w:val="0"/>
          <w:iCs w:val="0"/>
          <w:sz w:val="22"/>
          <w:szCs w:val="22"/>
          <w:lang w:val="en-GB"/>
        </w:rPr>
        <w:t xml:space="preserve">2 </w:t>
      </w:r>
      <w:r w:rsidR="00F95686" w:rsidRPr="008E37A0">
        <w:rPr>
          <w:rStyle w:val="Nessuno"/>
          <w:i w:val="0"/>
          <w:iCs w:val="0"/>
          <w:sz w:val="22"/>
          <w:szCs w:val="22"/>
          <w:lang w:val="en-GB"/>
        </w:rPr>
        <w:t xml:space="preserve">and 3 </w:t>
      </w:r>
      <w:r w:rsidR="00DF7D72" w:rsidRPr="008E37A0">
        <w:rPr>
          <w:rStyle w:val="Nessuno"/>
          <w:i w:val="0"/>
          <w:iCs w:val="0"/>
          <w:sz w:val="22"/>
          <w:szCs w:val="22"/>
          <w:lang w:val="en-GB"/>
        </w:rPr>
        <w:t xml:space="preserve">of this </w:t>
      </w:r>
      <w:r w:rsidR="004673FF" w:rsidRPr="008E37A0">
        <w:rPr>
          <w:rStyle w:val="Nessuno"/>
          <w:i w:val="0"/>
          <w:iCs w:val="0"/>
          <w:sz w:val="22"/>
          <w:szCs w:val="22"/>
          <w:lang w:val="en-GB"/>
        </w:rPr>
        <w:t>a</w:t>
      </w:r>
      <w:r w:rsidR="00DF7D72" w:rsidRPr="008E37A0">
        <w:rPr>
          <w:rStyle w:val="Nessuno"/>
          <w:i w:val="0"/>
          <w:iCs w:val="0"/>
          <w:sz w:val="22"/>
          <w:szCs w:val="22"/>
          <w:lang w:val="en-GB"/>
        </w:rPr>
        <w:t>ction may be implemented in indirect management with entit</w:t>
      </w:r>
      <w:r w:rsidR="00F95686" w:rsidRPr="008E37A0">
        <w:rPr>
          <w:rStyle w:val="Nessuno"/>
          <w:i w:val="0"/>
          <w:iCs w:val="0"/>
          <w:sz w:val="22"/>
          <w:szCs w:val="22"/>
          <w:lang w:val="en-GB"/>
        </w:rPr>
        <w:t>ies</w:t>
      </w:r>
      <w:r w:rsidRPr="008E37A0">
        <w:rPr>
          <w:rStyle w:val="Nessuno"/>
          <w:i w:val="0"/>
          <w:iCs w:val="0"/>
          <w:sz w:val="22"/>
          <w:szCs w:val="22"/>
          <w:lang w:val="en-GB"/>
        </w:rPr>
        <w:t>,</w:t>
      </w:r>
      <w:r w:rsidR="00DF7D72" w:rsidRPr="008E37A0">
        <w:rPr>
          <w:rStyle w:val="Nessuno"/>
          <w:i w:val="0"/>
          <w:iCs w:val="0"/>
          <w:sz w:val="22"/>
          <w:szCs w:val="22"/>
          <w:lang w:val="en-GB"/>
        </w:rPr>
        <w:t xml:space="preserve"> which will be selected by the Commission’s services using the following criteria: Member State organisation</w:t>
      </w:r>
      <w:r w:rsidR="00F95686" w:rsidRPr="008E37A0">
        <w:rPr>
          <w:rStyle w:val="Nessuno"/>
          <w:i w:val="0"/>
          <w:iCs w:val="0"/>
          <w:sz w:val="22"/>
          <w:szCs w:val="22"/>
          <w:lang w:val="en-GB"/>
        </w:rPr>
        <w:t>s</w:t>
      </w:r>
      <w:r w:rsidR="00DF7D72" w:rsidRPr="008E37A0">
        <w:rPr>
          <w:rStyle w:val="Nessuno"/>
          <w:i w:val="0"/>
          <w:iCs w:val="0"/>
          <w:sz w:val="22"/>
          <w:szCs w:val="22"/>
          <w:lang w:val="en-GB"/>
        </w:rPr>
        <w:t xml:space="preserve"> involved in the health sector with existing effective collaboration with the </w:t>
      </w:r>
      <w:r w:rsidR="00F95686" w:rsidRPr="008E37A0">
        <w:rPr>
          <w:i w:val="0"/>
          <w:iCs w:val="0"/>
          <w:sz w:val="22"/>
          <w:szCs w:val="22"/>
          <w:lang w:val="en-GB"/>
        </w:rPr>
        <w:t>MoIDPLHSA</w:t>
      </w:r>
      <w:r w:rsidR="00DF7D72" w:rsidRPr="008E37A0">
        <w:rPr>
          <w:rStyle w:val="Nessuno"/>
          <w:i w:val="0"/>
          <w:iCs w:val="0"/>
          <w:sz w:val="22"/>
          <w:szCs w:val="22"/>
          <w:lang w:val="en-GB"/>
        </w:rPr>
        <w:t>. The organisation</w:t>
      </w:r>
      <w:r w:rsidR="00F95686" w:rsidRPr="008E37A0">
        <w:rPr>
          <w:rStyle w:val="Nessuno"/>
          <w:i w:val="0"/>
          <w:iCs w:val="0"/>
          <w:sz w:val="22"/>
          <w:szCs w:val="22"/>
          <w:lang w:val="en-GB"/>
        </w:rPr>
        <w:t>s</w:t>
      </w:r>
      <w:r w:rsidR="00DF7D72" w:rsidRPr="008E37A0">
        <w:rPr>
          <w:rStyle w:val="Nessuno"/>
          <w:i w:val="0"/>
          <w:iCs w:val="0"/>
          <w:sz w:val="22"/>
          <w:szCs w:val="22"/>
          <w:lang w:val="en-GB"/>
        </w:rPr>
        <w:t xml:space="preserve"> must have proven operational capacity to implement the </w:t>
      </w:r>
      <w:r w:rsidR="00CB6BEF" w:rsidRPr="008E37A0">
        <w:rPr>
          <w:rStyle w:val="Nessuno"/>
          <w:i w:val="0"/>
          <w:iCs w:val="0"/>
          <w:sz w:val="22"/>
          <w:szCs w:val="22"/>
          <w:lang w:val="en-GB"/>
        </w:rPr>
        <w:t>output</w:t>
      </w:r>
      <w:r w:rsidR="00F95686" w:rsidRPr="008E37A0">
        <w:rPr>
          <w:rStyle w:val="Nessuno"/>
          <w:i w:val="0"/>
          <w:iCs w:val="0"/>
          <w:sz w:val="22"/>
          <w:szCs w:val="22"/>
          <w:lang w:val="en-GB"/>
        </w:rPr>
        <w:t>s</w:t>
      </w:r>
      <w:r w:rsidR="00CB6BEF" w:rsidRPr="008E37A0">
        <w:rPr>
          <w:rStyle w:val="Nessuno"/>
          <w:i w:val="0"/>
          <w:iCs w:val="0"/>
          <w:sz w:val="22"/>
          <w:szCs w:val="22"/>
          <w:lang w:val="en-GB"/>
        </w:rPr>
        <w:t xml:space="preserve"> </w:t>
      </w:r>
      <w:r w:rsidR="00DF7D72" w:rsidRPr="008E37A0">
        <w:rPr>
          <w:rStyle w:val="Nessuno"/>
          <w:i w:val="0"/>
          <w:iCs w:val="0"/>
          <w:sz w:val="22"/>
          <w:szCs w:val="22"/>
          <w:lang w:val="en-GB"/>
        </w:rPr>
        <w:t>of the action, proven added value in terms of expertise and internal resources, transparency and absence of conflict of interest. The implementation by th</w:t>
      </w:r>
      <w:r w:rsidR="00F95686" w:rsidRPr="008E37A0">
        <w:rPr>
          <w:rStyle w:val="Nessuno"/>
          <w:i w:val="0"/>
          <w:iCs w:val="0"/>
          <w:sz w:val="22"/>
          <w:szCs w:val="22"/>
          <w:lang w:val="en-GB"/>
        </w:rPr>
        <w:t>ese</w:t>
      </w:r>
      <w:r w:rsidR="00DF7D72" w:rsidRPr="008E37A0">
        <w:rPr>
          <w:rStyle w:val="Nessuno"/>
          <w:i w:val="0"/>
          <w:iCs w:val="0"/>
          <w:sz w:val="22"/>
          <w:szCs w:val="22"/>
          <w:lang w:val="en-GB"/>
        </w:rPr>
        <w:t xml:space="preserve"> entit</w:t>
      </w:r>
      <w:r w:rsidR="00F95686" w:rsidRPr="008E37A0">
        <w:rPr>
          <w:rStyle w:val="Nessuno"/>
          <w:i w:val="0"/>
          <w:iCs w:val="0"/>
          <w:sz w:val="22"/>
          <w:szCs w:val="22"/>
          <w:lang w:val="en-GB"/>
        </w:rPr>
        <w:t>ies</w:t>
      </w:r>
      <w:r w:rsidR="00DF7D72" w:rsidRPr="008E37A0">
        <w:rPr>
          <w:rStyle w:val="Nessuno"/>
          <w:i w:val="0"/>
          <w:iCs w:val="0"/>
          <w:sz w:val="22"/>
          <w:szCs w:val="22"/>
          <w:lang w:val="en-GB"/>
        </w:rPr>
        <w:t xml:space="preserve"> entails the implementation of </w:t>
      </w:r>
      <w:r w:rsidR="006B6FC9" w:rsidRPr="008E37A0">
        <w:rPr>
          <w:rStyle w:val="Nessuno"/>
          <w:i w:val="0"/>
          <w:iCs w:val="0"/>
          <w:sz w:val="22"/>
          <w:szCs w:val="22"/>
          <w:lang w:val="en-GB"/>
        </w:rPr>
        <w:t>C</w:t>
      </w:r>
      <w:r w:rsidRPr="008E37A0">
        <w:rPr>
          <w:rStyle w:val="Nessuno"/>
          <w:i w:val="0"/>
          <w:iCs w:val="0"/>
          <w:sz w:val="22"/>
          <w:szCs w:val="22"/>
          <w:lang w:val="en-GB"/>
        </w:rPr>
        <w:t>omponent</w:t>
      </w:r>
      <w:r w:rsidR="00F95686" w:rsidRPr="008E37A0">
        <w:rPr>
          <w:rStyle w:val="Nessuno"/>
          <w:i w:val="0"/>
          <w:iCs w:val="0"/>
          <w:sz w:val="22"/>
          <w:szCs w:val="22"/>
          <w:lang w:val="en-GB"/>
        </w:rPr>
        <w:t>s</w:t>
      </w:r>
      <w:r w:rsidRPr="008E37A0">
        <w:rPr>
          <w:rStyle w:val="Nessuno"/>
          <w:i w:val="0"/>
          <w:iCs w:val="0"/>
          <w:sz w:val="22"/>
          <w:szCs w:val="22"/>
          <w:lang w:val="en-GB"/>
        </w:rPr>
        <w:t xml:space="preserve"> </w:t>
      </w:r>
      <w:r w:rsidR="00DF7D72" w:rsidRPr="008E37A0">
        <w:rPr>
          <w:rStyle w:val="Nessuno"/>
          <w:i w:val="0"/>
          <w:iCs w:val="0"/>
          <w:sz w:val="22"/>
          <w:szCs w:val="22"/>
          <w:lang w:val="en-GB"/>
        </w:rPr>
        <w:t xml:space="preserve">2 </w:t>
      </w:r>
      <w:r w:rsidR="00F95686" w:rsidRPr="008E37A0">
        <w:rPr>
          <w:rStyle w:val="Nessuno"/>
          <w:i w:val="0"/>
          <w:iCs w:val="0"/>
          <w:sz w:val="22"/>
          <w:szCs w:val="22"/>
          <w:lang w:val="en-GB"/>
        </w:rPr>
        <w:t xml:space="preserve">and 3 </w:t>
      </w:r>
      <w:r w:rsidR="00DF7D72" w:rsidRPr="008E37A0">
        <w:rPr>
          <w:rStyle w:val="Nessuno"/>
          <w:i w:val="0"/>
          <w:iCs w:val="0"/>
          <w:sz w:val="22"/>
          <w:szCs w:val="22"/>
          <w:lang w:val="en-GB"/>
        </w:rPr>
        <w:t xml:space="preserve">of the proposed action for the strengthening of health system focusing on integrated primary health care as well as collaboration with the other </w:t>
      </w:r>
      <w:r w:rsidR="00F95686" w:rsidRPr="008E37A0">
        <w:rPr>
          <w:rStyle w:val="Nessuno"/>
          <w:i w:val="0"/>
          <w:iCs w:val="0"/>
          <w:sz w:val="22"/>
          <w:szCs w:val="22"/>
          <w:lang w:val="en-GB"/>
        </w:rPr>
        <w:t>c</w:t>
      </w:r>
      <w:r w:rsidR="00690F05" w:rsidRPr="008E37A0">
        <w:rPr>
          <w:rStyle w:val="Nessuno"/>
          <w:i w:val="0"/>
          <w:iCs w:val="0"/>
          <w:sz w:val="22"/>
          <w:szCs w:val="22"/>
          <w:lang w:val="en-GB"/>
        </w:rPr>
        <w:t xml:space="preserve">omponents </w:t>
      </w:r>
      <w:r w:rsidR="00DF7D72" w:rsidRPr="008E37A0">
        <w:rPr>
          <w:rStyle w:val="Nessuno"/>
          <w:i w:val="0"/>
          <w:iCs w:val="0"/>
          <w:sz w:val="22"/>
          <w:szCs w:val="22"/>
          <w:lang w:val="en-GB"/>
        </w:rPr>
        <w:t>of the action to ensure coherence and complementarity of the action.</w:t>
      </w:r>
      <w:r w:rsidR="00F95686" w:rsidRPr="008E37A0">
        <w:rPr>
          <w:rStyle w:val="Nessuno"/>
          <w:i w:val="0"/>
          <w:iCs w:val="0"/>
          <w:sz w:val="22"/>
          <w:szCs w:val="22"/>
          <w:lang w:val="en-GB"/>
        </w:rPr>
        <w:t xml:space="preserve"> </w:t>
      </w:r>
      <w:r w:rsidR="00DF7D72" w:rsidRPr="008E37A0">
        <w:rPr>
          <w:rStyle w:val="Nessuno"/>
          <w:i w:val="0"/>
          <w:iCs w:val="0"/>
          <w:sz w:val="22"/>
          <w:szCs w:val="22"/>
          <w:lang w:val="en-GB"/>
        </w:rPr>
        <w:t>In case the envisaged entity would need to be replaced, the Commission’s services may select a replacement entity using the same criteria. If the entity is replaced the decision to replace it needs to be justified.</w:t>
      </w:r>
    </w:p>
    <w:p w14:paraId="1F563834" w14:textId="4D787AD9" w:rsidR="00AE21A5" w:rsidRPr="008E37A0" w:rsidRDefault="00B60082" w:rsidP="00D54AF1">
      <w:pPr>
        <w:pStyle w:val="Intestazione2"/>
        <w:tabs>
          <w:tab w:val="clear" w:pos="360"/>
        </w:tabs>
        <w:ind w:left="0" w:firstLine="0"/>
        <w:rPr>
          <w:lang w:val="en-GB"/>
        </w:rPr>
      </w:pPr>
      <w:bookmarkStart w:id="3" w:name="_Ref399941441"/>
      <w:r w:rsidRPr="008E37A0">
        <w:rPr>
          <w:lang w:val="en-GB"/>
        </w:rPr>
        <w:t xml:space="preserve">5.4 </w:t>
      </w:r>
      <w:r w:rsidRPr="008E37A0">
        <w:rPr>
          <w:lang w:val="en-GB"/>
        </w:rPr>
        <w:tab/>
      </w:r>
      <w:r w:rsidR="00DF7D72" w:rsidRPr="008E37A0">
        <w:rPr>
          <w:lang w:val="en-GB"/>
        </w:rPr>
        <w:t>I</w:t>
      </w:r>
      <w:bookmarkStart w:id="4" w:name="_Ref399942709"/>
      <w:bookmarkEnd w:id="3"/>
      <w:r w:rsidR="00DF7D72" w:rsidRPr="008E37A0">
        <w:rPr>
          <w:lang w:val="en-GB"/>
        </w:rPr>
        <w:t>n</w:t>
      </w:r>
      <w:bookmarkStart w:id="5" w:name="_Ref401138063"/>
      <w:bookmarkEnd w:id="4"/>
      <w:r w:rsidR="00DF7D72" w:rsidRPr="008E37A0">
        <w:rPr>
          <w:lang w:val="en-GB"/>
        </w:rPr>
        <w:t>d</w:t>
      </w:r>
      <w:bookmarkStart w:id="6" w:name="_Ref401138064"/>
      <w:bookmarkEnd w:id="5"/>
      <w:r w:rsidR="00DF7D72" w:rsidRPr="008E37A0">
        <w:rPr>
          <w:lang w:val="en-GB"/>
        </w:rPr>
        <w:t>i</w:t>
      </w:r>
      <w:bookmarkStart w:id="7" w:name="_Ref401138111"/>
      <w:bookmarkEnd w:id="6"/>
      <w:r w:rsidR="00DF7D72" w:rsidRPr="008E37A0">
        <w:rPr>
          <w:lang w:val="en-GB"/>
        </w:rPr>
        <w:t>cative bu</w:t>
      </w:r>
      <w:bookmarkEnd w:id="7"/>
      <w:r w:rsidR="00DF7D72" w:rsidRPr="008E37A0">
        <w:rPr>
          <w:lang w:val="en-GB"/>
        </w:rPr>
        <w:t>dget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3430"/>
        <w:gridCol w:w="1904"/>
        <w:gridCol w:w="3722"/>
      </w:tblGrid>
      <w:tr w:rsidR="00CD163F" w:rsidRPr="008E37A0" w14:paraId="62BFE65E" w14:textId="77777777" w:rsidTr="006B6FC9">
        <w:trPr>
          <w:trHeight w:val="460"/>
        </w:trPr>
        <w:tc>
          <w:tcPr>
            <w:tcW w:w="1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6D41E" w14:textId="39860AD4" w:rsidR="002E07CD" w:rsidRPr="008E37A0" w:rsidRDefault="002E07CD" w:rsidP="009E23CF">
            <w:pPr>
              <w:jc w:val="center"/>
              <w:rPr>
                <w:sz w:val="20"/>
                <w:szCs w:val="20"/>
                <w:lang w:val="en-GB"/>
              </w:rPr>
            </w:pPr>
            <w:r w:rsidRPr="008E37A0">
              <w:rPr>
                <w:rStyle w:val="Nessuno"/>
                <w:rFonts w:cs="Arial Unicode MS"/>
                <w:b/>
                <w:bCs/>
                <w:color w:val="000000"/>
                <w:sz w:val="20"/>
                <w:szCs w:val="20"/>
                <w:u w:color="000000"/>
                <w:lang w:val="en-GB" w:eastAsia="en-GB"/>
              </w:rPr>
              <w:t>Items</w:t>
            </w:r>
          </w:p>
        </w:tc>
        <w:tc>
          <w:tcPr>
            <w:tcW w:w="1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469B4" w14:textId="77777777" w:rsidR="00AE21A5" w:rsidRPr="008E37A0" w:rsidRDefault="00DF7D72">
            <w:pPr>
              <w:pStyle w:val="Text2"/>
              <w:spacing w:before="0" w:after="0"/>
              <w:ind w:left="0"/>
              <w:jc w:val="center"/>
              <w:rPr>
                <w:rStyle w:val="Nessuno"/>
                <w:rFonts w:cs="Times New Roman"/>
                <w:b/>
                <w:bCs/>
                <w:color w:val="auto"/>
                <w:sz w:val="20"/>
                <w:szCs w:val="20"/>
                <w:lang w:val="en-GB" w:eastAsia="en-US"/>
              </w:rPr>
            </w:pPr>
            <w:r w:rsidRPr="008E37A0">
              <w:rPr>
                <w:rStyle w:val="Nessuno"/>
                <w:b/>
                <w:bCs/>
                <w:sz w:val="20"/>
                <w:szCs w:val="20"/>
                <w:lang w:val="en-GB"/>
              </w:rPr>
              <w:t>EU contribution</w:t>
            </w:r>
          </w:p>
          <w:p w14:paraId="0C87D9F6" w14:textId="77777777" w:rsidR="00AE21A5" w:rsidRPr="008E37A0" w:rsidRDefault="00DF7D72">
            <w:pPr>
              <w:pStyle w:val="Text2"/>
              <w:spacing w:before="0" w:after="0"/>
              <w:ind w:left="0"/>
              <w:jc w:val="center"/>
              <w:rPr>
                <w:sz w:val="20"/>
                <w:szCs w:val="20"/>
                <w:lang w:val="en-GB"/>
              </w:rPr>
            </w:pPr>
            <w:r w:rsidRPr="008E37A0">
              <w:rPr>
                <w:rStyle w:val="Nessuno"/>
                <w:b/>
                <w:bCs/>
                <w:sz w:val="20"/>
                <w:szCs w:val="20"/>
                <w:lang w:val="en-GB"/>
              </w:rPr>
              <w:t>(amount in EUR)</w:t>
            </w:r>
          </w:p>
        </w:tc>
        <w:tc>
          <w:tcPr>
            <w:tcW w:w="20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1755A" w14:textId="127FB4EF" w:rsidR="00AE21A5" w:rsidRPr="008E37A0" w:rsidRDefault="00DF7D72">
            <w:pPr>
              <w:pStyle w:val="Text2"/>
              <w:spacing w:before="0" w:after="0"/>
              <w:ind w:left="0"/>
              <w:jc w:val="center"/>
              <w:rPr>
                <w:sz w:val="20"/>
                <w:szCs w:val="20"/>
                <w:lang w:val="en-GB"/>
              </w:rPr>
            </w:pPr>
            <w:r w:rsidRPr="008E37A0">
              <w:rPr>
                <w:rStyle w:val="Nessuno"/>
                <w:b/>
                <w:bCs/>
                <w:sz w:val="20"/>
                <w:szCs w:val="20"/>
                <w:lang w:val="en-GB"/>
              </w:rPr>
              <w:t xml:space="preserve">Indicative </w:t>
            </w:r>
            <w:r w:rsidR="000F596A" w:rsidRPr="008E37A0">
              <w:rPr>
                <w:rStyle w:val="Nessuno"/>
                <w:b/>
                <w:bCs/>
                <w:sz w:val="20"/>
                <w:szCs w:val="20"/>
                <w:lang w:val="en-GB"/>
              </w:rPr>
              <w:t>third-party</w:t>
            </w:r>
            <w:r w:rsidRPr="008E37A0">
              <w:rPr>
                <w:rStyle w:val="Nessuno"/>
                <w:b/>
                <w:bCs/>
                <w:sz w:val="20"/>
                <w:szCs w:val="20"/>
                <w:lang w:val="en-GB"/>
              </w:rPr>
              <w:t xml:space="preserve"> </w:t>
            </w:r>
            <w:r w:rsidR="00A400C9" w:rsidRPr="008E37A0">
              <w:rPr>
                <w:rStyle w:val="Nessuno"/>
                <w:b/>
                <w:bCs/>
                <w:sz w:val="20"/>
                <w:szCs w:val="20"/>
                <w:lang w:val="en-GB"/>
              </w:rPr>
              <w:t>contribution</w:t>
            </w:r>
            <w:r w:rsidRPr="008E37A0">
              <w:rPr>
                <w:rStyle w:val="Nessuno"/>
                <w:b/>
                <w:bCs/>
                <w:sz w:val="20"/>
                <w:szCs w:val="20"/>
                <w:lang w:val="en-GB"/>
              </w:rPr>
              <w:t>, in currency identified</w:t>
            </w:r>
          </w:p>
        </w:tc>
      </w:tr>
      <w:tr w:rsidR="001F697D" w:rsidRPr="008E37A0" w14:paraId="1CB4D77B" w14:textId="77777777" w:rsidTr="006B6FC9">
        <w:trPr>
          <w:trHeight w:val="4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08180" w14:textId="1A997115" w:rsidR="001F697D" w:rsidRPr="008E37A0" w:rsidRDefault="009F3787">
            <w:pPr>
              <w:rPr>
                <w:sz w:val="20"/>
                <w:szCs w:val="20"/>
                <w:lang w:val="en-GB"/>
              </w:rPr>
            </w:pPr>
            <w:r w:rsidRPr="008E37A0">
              <w:rPr>
                <w:b/>
                <w:sz w:val="20"/>
                <w:szCs w:val="20"/>
                <w:lang w:val="en-GB"/>
              </w:rPr>
              <w:t>Outcome 1</w:t>
            </w:r>
            <w:r w:rsidR="00690F05" w:rsidRPr="008E37A0">
              <w:rPr>
                <w:rStyle w:val="Nessuno"/>
                <w:color w:val="FF0000"/>
                <w:sz w:val="20"/>
                <w:szCs w:val="20"/>
                <w:lang w:val="en-GB"/>
              </w:rPr>
              <w:t xml:space="preserve"> </w:t>
            </w:r>
            <w:r w:rsidR="00690F05" w:rsidRPr="008E37A0">
              <w:rPr>
                <w:rStyle w:val="Nessuno"/>
                <w:sz w:val="20"/>
                <w:szCs w:val="20"/>
                <w:lang w:val="en-GB"/>
              </w:rPr>
              <w:t xml:space="preserve">– </w:t>
            </w:r>
            <w:r w:rsidRPr="008E37A0">
              <w:rPr>
                <w:sz w:val="20"/>
                <w:szCs w:val="20"/>
                <w:lang w:val="en-GB"/>
              </w:rPr>
              <w:t xml:space="preserve"> </w:t>
            </w:r>
            <w:r w:rsidR="00C86471" w:rsidRPr="008E37A0">
              <w:rPr>
                <w:sz w:val="20"/>
                <w:szCs w:val="20"/>
                <w:lang w:val="en-GB"/>
              </w:rPr>
              <w:t>Strengthened health sector governance and financing mechanisms</w:t>
            </w:r>
          </w:p>
        </w:tc>
      </w:tr>
      <w:tr w:rsidR="00AE21A5" w:rsidRPr="008E37A0" w14:paraId="0C6DE877" w14:textId="77777777" w:rsidTr="006B6FC9">
        <w:trPr>
          <w:trHeight w:val="460"/>
        </w:trPr>
        <w:tc>
          <w:tcPr>
            <w:tcW w:w="1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B4433" w14:textId="34C07BB0" w:rsidR="00AE21A5" w:rsidRPr="008E37A0" w:rsidRDefault="00DF7D72">
            <w:pPr>
              <w:pStyle w:val="Text2"/>
              <w:spacing w:before="0" w:after="0"/>
              <w:ind w:left="0"/>
              <w:rPr>
                <w:sz w:val="20"/>
                <w:szCs w:val="20"/>
                <w:lang w:val="en-GB"/>
              </w:rPr>
            </w:pPr>
            <w:r w:rsidRPr="008E37A0">
              <w:rPr>
                <w:rStyle w:val="Nessuno"/>
                <w:sz w:val="20"/>
                <w:szCs w:val="20"/>
                <w:lang w:val="en-GB"/>
              </w:rPr>
              <w:t xml:space="preserve">Indirect management with </w:t>
            </w:r>
            <w:r w:rsidR="002E07CD" w:rsidRPr="008E37A0">
              <w:rPr>
                <w:rStyle w:val="Nessuno"/>
                <w:sz w:val="20"/>
                <w:szCs w:val="20"/>
                <w:lang w:val="en-GB"/>
              </w:rPr>
              <w:t>the W</w:t>
            </w:r>
            <w:r w:rsidR="009F3787" w:rsidRPr="008E37A0">
              <w:rPr>
                <w:rStyle w:val="Nessuno"/>
                <w:sz w:val="20"/>
                <w:szCs w:val="20"/>
                <w:lang w:val="en-GB"/>
              </w:rPr>
              <w:t>HO</w:t>
            </w:r>
            <w:r w:rsidR="0002292F" w:rsidRPr="008E37A0">
              <w:rPr>
                <w:rStyle w:val="Nessuno"/>
                <w:sz w:val="20"/>
                <w:szCs w:val="20"/>
                <w:lang w:val="en-GB"/>
              </w:rPr>
              <w:t xml:space="preserve"> </w:t>
            </w:r>
            <w:r w:rsidRPr="008E37A0">
              <w:rPr>
                <w:rStyle w:val="Nessuno"/>
                <w:sz w:val="20"/>
                <w:szCs w:val="20"/>
                <w:lang w:val="en-GB"/>
              </w:rPr>
              <w:t xml:space="preserve">- </w:t>
            </w:r>
            <w:r w:rsidRPr="008E37A0">
              <w:rPr>
                <w:rStyle w:val="Nessuno"/>
                <w:i/>
                <w:sz w:val="20"/>
                <w:szCs w:val="20"/>
                <w:lang w:val="en-GB"/>
              </w:rPr>
              <w:t>cf. section 5.</w:t>
            </w:r>
            <w:r w:rsidR="00B60082" w:rsidRPr="008E37A0">
              <w:rPr>
                <w:rStyle w:val="Nessuno"/>
                <w:i/>
                <w:sz w:val="20"/>
                <w:szCs w:val="20"/>
                <w:lang w:val="en-GB"/>
              </w:rPr>
              <w:t>3.1</w:t>
            </w:r>
          </w:p>
        </w:tc>
        <w:tc>
          <w:tcPr>
            <w:tcW w:w="1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4536A" w14:textId="685A6A09" w:rsidR="00AE21A5" w:rsidRPr="008E37A0" w:rsidRDefault="00DF7D72">
            <w:pPr>
              <w:pStyle w:val="Text2"/>
              <w:spacing w:before="0" w:after="0"/>
              <w:ind w:left="0"/>
              <w:jc w:val="right"/>
              <w:rPr>
                <w:sz w:val="20"/>
                <w:szCs w:val="20"/>
                <w:lang w:val="en-GB"/>
              </w:rPr>
            </w:pPr>
            <w:r w:rsidRPr="008E37A0">
              <w:rPr>
                <w:rStyle w:val="Nessuno"/>
                <w:sz w:val="20"/>
                <w:szCs w:val="20"/>
                <w:lang w:val="en-GB"/>
              </w:rPr>
              <w:t xml:space="preserve">EUR </w:t>
            </w:r>
            <w:r w:rsidR="00C86471" w:rsidRPr="008E37A0">
              <w:rPr>
                <w:rStyle w:val="Nessuno"/>
                <w:sz w:val="20"/>
                <w:szCs w:val="20"/>
                <w:lang w:val="en-GB"/>
              </w:rPr>
              <w:t>…</w:t>
            </w:r>
            <w:r w:rsidRPr="008E37A0">
              <w:rPr>
                <w:rStyle w:val="Nessuno"/>
                <w:sz w:val="20"/>
                <w:szCs w:val="20"/>
                <w:lang w:val="en-GB"/>
              </w:rPr>
              <w:t>M</w:t>
            </w:r>
          </w:p>
        </w:tc>
        <w:tc>
          <w:tcPr>
            <w:tcW w:w="20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0B8C9" w14:textId="4C69AE84" w:rsidR="00AE21A5" w:rsidRPr="008E37A0" w:rsidRDefault="002E07CD">
            <w:pPr>
              <w:pStyle w:val="Text2"/>
              <w:spacing w:before="0" w:after="0"/>
              <w:ind w:left="0"/>
              <w:jc w:val="right"/>
              <w:rPr>
                <w:sz w:val="20"/>
                <w:szCs w:val="20"/>
                <w:lang w:val="en-GB"/>
              </w:rPr>
            </w:pPr>
            <w:r w:rsidRPr="008E37A0">
              <w:rPr>
                <w:rStyle w:val="Nessuno"/>
                <w:sz w:val="20"/>
                <w:szCs w:val="20"/>
                <w:lang w:val="en-GB"/>
              </w:rPr>
              <w:t>N.A</w:t>
            </w:r>
          </w:p>
        </w:tc>
      </w:tr>
      <w:tr w:rsidR="001F697D" w:rsidRPr="008E37A0" w14:paraId="4D0BB7C3" w14:textId="77777777" w:rsidTr="006B6FC9">
        <w:trPr>
          <w:trHeight w:val="4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5B3B3" w14:textId="7B1E6A7F" w:rsidR="001F697D" w:rsidRPr="008E37A0" w:rsidRDefault="001F697D" w:rsidP="009F3787">
            <w:pPr>
              <w:rPr>
                <w:sz w:val="20"/>
                <w:szCs w:val="20"/>
                <w:lang w:val="en-GB"/>
              </w:rPr>
            </w:pPr>
            <w:r w:rsidRPr="008E37A0">
              <w:rPr>
                <w:rStyle w:val="Nessuno"/>
                <w:b/>
                <w:sz w:val="20"/>
                <w:szCs w:val="20"/>
                <w:lang w:val="en-GB"/>
              </w:rPr>
              <w:t>Ou</w:t>
            </w:r>
            <w:r w:rsidR="009F3787" w:rsidRPr="008E37A0">
              <w:rPr>
                <w:rStyle w:val="Nessuno"/>
                <w:b/>
                <w:sz w:val="20"/>
                <w:szCs w:val="20"/>
                <w:lang w:val="en-GB"/>
              </w:rPr>
              <w:t xml:space="preserve">tcome </w:t>
            </w:r>
            <w:r w:rsidRPr="008E37A0">
              <w:rPr>
                <w:rStyle w:val="Nessuno"/>
                <w:b/>
                <w:sz w:val="20"/>
                <w:szCs w:val="20"/>
                <w:lang w:val="en-GB"/>
              </w:rPr>
              <w:t>2</w:t>
            </w:r>
            <w:r w:rsidRPr="008E37A0">
              <w:rPr>
                <w:rStyle w:val="Nessuno"/>
                <w:sz w:val="20"/>
                <w:szCs w:val="20"/>
                <w:lang w:val="en-GB"/>
              </w:rPr>
              <w:t xml:space="preserve"> – </w:t>
            </w:r>
            <w:r w:rsidR="00C86471" w:rsidRPr="008E37A0">
              <w:rPr>
                <w:sz w:val="20"/>
                <w:szCs w:val="20"/>
                <w:lang w:val="en-GB"/>
              </w:rPr>
              <w:t>Integrated primary health care of improved access and service quality and strengthened primary health system to effectively address prevention of NCDs</w:t>
            </w:r>
          </w:p>
        </w:tc>
      </w:tr>
      <w:tr w:rsidR="00AE21A5" w:rsidRPr="008E37A0" w14:paraId="4FAC3821" w14:textId="77777777" w:rsidTr="006B6FC9">
        <w:trPr>
          <w:trHeight w:val="460"/>
        </w:trPr>
        <w:tc>
          <w:tcPr>
            <w:tcW w:w="1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59698" w14:textId="545720EB" w:rsidR="00AE21A5" w:rsidRPr="008E37A0" w:rsidRDefault="00DF7D72">
            <w:pPr>
              <w:pStyle w:val="Text2"/>
              <w:spacing w:before="0" w:after="0"/>
              <w:ind w:left="0"/>
              <w:rPr>
                <w:sz w:val="20"/>
                <w:szCs w:val="20"/>
                <w:lang w:val="en-GB"/>
              </w:rPr>
            </w:pPr>
            <w:r w:rsidRPr="008E37A0">
              <w:rPr>
                <w:rStyle w:val="Nessuno"/>
                <w:sz w:val="20"/>
                <w:szCs w:val="20"/>
                <w:lang w:val="en-GB"/>
              </w:rPr>
              <w:t xml:space="preserve">Indirect management with </w:t>
            </w:r>
            <w:r w:rsidR="00C86471" w:rsidRPr="008E37A0">
              <w:rPr>
                <w:rStyle w:val="Nessuno"/>
                <w:sz w:val="20"/>
                <w:szCs w:val="20"/>
                <w:lang w:val="en-GB"/>
              </w:rPr>
              <w:t>EU MS organization</w:t>
            </w:r>
            <w:r w:rsidR="0002292F" w:rsidRPr="008E37A0">
              <w:rPr>
                <w:rStyle w:val="Nessuno"/>
                <w:sz w:val="20"/>
                <w:szCs w:val="20"/>
                <w:lang w:val="en-GB"/>
              </w:rPr>
              <w:t xml:space="preserve"> </w:t>
            </w:r>
            <w:r w:rsidRPr="008E37A0">
              <w:rPr>
                <w:rStyle w:val="Nessuno"/>
                <w:sz w:val="20"/>
                <w:szCs w:val="20"/>
                <w:lang w:val="en-GB"/>
              </w:rPr>
              <w:t xml:space="preserve">- </w:t>
            </w:r>
            <w:r w:rsidRPr="008E37A0">
              <w:rPr>
                <w:rStyle w:val="Nessuno"/>
                <w:i/>
                <w:sz w:val="20"/>
                <w:szCs w:val="20"/>
                <w:lang w:val="en-GB"/>
              </w:rPr>
              <w:t>cf. section 5.</w:t>
            </w:r>
            <w:r w:rsidR="00B60082" w:rsidRPr="008E37A0">
              <w:rPr>
                <w:rStyle w:val="Nessuno"/>
                <w:i/>
                <w:sz w:val="20"/>
                <w:szCs w:val="20"/>
                <w:lang w:val="en-GB"/>
              </w:rPr>
              <w:t>3.2</w:t>
            </w:r>
          </w:p>
        </w:tc>
        <w:tc>
          <w:tcPr>
            <w:tcW w:w="1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F2E7E" w14:textId="0EE3C37B" w:rsidR="00AE21A5" w:rsidRPr="008E37A0" w:rsidRDefault="00DF7D72">
            <w:pPr>
              <w:pStyle w:val="Text2"/>
              <w:spacing w:before="0" w:after="0"/>
              <w:ind w:left="0"/>
              <w:jc w:val="right"/>
              <w:rPr>
                <w:sz w:val="20"/>
                <w:szCs w:val="20"/>
                <w:lang w:val="en-GB"/>
              </w:rPr>
            </w:pPr>
            <w:r w:rsidRPr="008E37A0">
              <w:rPr>
                <w:rStyle w:val="Nessuno"/>
                <w:sz w:val="20"/>
                <w:szCs w:val="20"/>
                <w:lang w:val="en-GB"/>
              </w:rPr>
              <w:t xml:space="preserve">EUR </w:t>
            </w:r>
            <w:r w:rsidR="00C86471" w:rsidRPr="008E37A0">
              <w:rPr>
                <w:rStyle w:val="Nessuno"/>
                <w:sz w:val="20"/>
                <w:szCs w:val="20"/>
                <w:lang w:val="en-GB"/>
              </w:rPr>
              <w:t>…</w:t>
            </w:r>
            <w:r w:rsidRPr="008E37A0">
              <w:rPr>
                <w:rStyle w:val="Nessuno"/>
                <w:sz w:val="20"/>
                <w:szCs w:val="20"/>
                <w:lang w:val="en-GB"/>
              </w:rPr>
              <w:t>M</w:t>
            </w:r>
          </w:p>
        </w:tc>
        <w:tc>
          <w:tcPr>
            <w:tcW w:w="20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7797B" w14:textId="5E122B2C" w:rsidR="00AE21A5" w:rsidRPr="008E37A0" w:rsidRDefault="00C86471" w:rsidP="00C86471">
            <w:pPr>
              <w:pStyle w:val="Text2"/>
              <w:spacing w:before="0" w:after="0"/>
              <w:ind w:left="0"/>
              <w:jc w:val="right"/>
              <w:rPr>
                <w:sz w:val="20"/>
                <w:szCs w:val="20"/>
                <w:lang w:val="en-GB"/>
              </w:rPr>
            </w:pPr>
            <w:r w:rsidRPr="008E37A0">
              <w:rPr>
                <w:sz w:val="20"/>
                <w:szCs w:val="20"/>
                <w:lang w:val="en-GB"/>
              </w:rPr>
              <w:t>N.A.</w:t>
            </w:r>
          </w:p>
        </w:tc>
      </w:tr>
      <w:tr w:rsidR="001F697D" w:rsidRPr="008E37A0" w14:paraId="1F36E088" w14:textId="77777777" w:rsidTr="006B6FC9">
        <w:trPr>
          <w:trHeight w:val="4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6909F" w14:textId="6D5D5043" w:rsidR="001F697D" w:rsidRPr="008E37A0" w:rsidRDefault="001F697D" w:rsidP="009F3787">
            <w:pPr>
              <w:rPr>
                <w:sz w:val="20"/>
                <w:szCs w:val="20"/>
                <w:lang w:val="en-GB"/>
              </w:rPr>
            </w:pPr>
            <w:r w:rsidRPr="008E37A0">
              <w:rPr>
                <w:rStyle w:val="Nessuno"/>
                <w:b/>
                <w:sz w:val="20"/>
                <w:szCs w:val="20"/>
                <w:lang w:val="en-GB"/>
              </w:rPr>
              <w:t>Out</w:t>
            </w:r>
            <w:r w:rsidR="009F3787" w:rsidRPr="008E37A0">
              <w:rPr>
                <w:rStyle w:val="Nessuno"/>
                <w:b/>
                <w:sz w:val="20"/>
                <w:szCs w:val="20"/>
                <w:lang w:val="en-GB"/>
              </w:rPr>
              <w:t xml:space="preserve">come 3 </w:t>
            </w:r>
            <w:r w:rsidRPr="008E37A0">
              <w:rPr>
                <w:rStyle w:val="Nessuno"/>
                <w:color w:val="FF0000"/>
                <w:sz w:val="20"/>
                <w:szCs w:val="20"/>
                <w:lang w:val="en-GB"/>
              </w:rPr>
              <w:t xml:space="preserve"> </w:t>
            </w:r>
            <w:r w:rsidRPr="008E37A0">
              <w:rPr>
                <w:rStyle w:val="Nessuno"/>
                <w:sz w:val="20"/>
                <w:szCs w:val="20"/>
                <w:lang w:val="en-GB"/>
              </w:rPr>
              <w:t xml:space="preserve">– </w:t>
            </w:r>
            <w:r w:rsidR="00C86471" w:rsidRPr="008E37A0">
              <w:rPr>
                <w:sz w:val="20"/>
                <w:szCs w:val="20"/>
                <w:lang w:val="en-GB"/>
              </w:rPr>
              <w:t>Promotion of healthy lifestyles and improved prevention of NCDs</w:t>
            </w:r>
          </w:p>
        </w:tc>
      </w:tr>
      <w:tr w:rsidR="00C86471" w:rsidRPr="008E37A0" w14:paraId="20BBE442" w14:textId="77777777" w:rsidTr="006B6FC9">
        <w:trPr>
          <w:trHeight w:val="460"/>
        </w:trPr>
        <w:tc>
          <w:tcPr>
            <w:tcW w:w="1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080CC" w14:textId="5D1424FE" w:rsidR="00C86471" w:rsidRPr="008E37A0" w:rsidRDefault="00C86471" w:rsidP="00C86471">
            <w:pPr>
              <w:pStyle w:val="Text2"/>
              <w:spacing w:before="0" w:after="0"/>
              <w:ind w:left="0"/>
              <w:rPr>
                <w:sz w:val="20"/>
                <w:szCs w:val="20"/>
                <w:lang w:val="en-GB"/>
              </w:rPr>
            </w:pPr>
            <w:r w:rsidRPr="008E37A0">
              <w:rPr>
                <w:rStyle w:val="Nessuno"/>
                <w:sz w:val="20"/>
                <w:szCs w:val="20"/>
                <w:lang w:val="en-GB"/>
              </w:rPr>
              <w:t xml:space="preserve">Indirect management with EU MS organization - </w:t>
            </w:r>
            <w:r w:rsidRPr="008E37A0">
              <w:rPr>
                <w:rStyle w:val="Nessuno"/>
                <w:i/>
                <w:sz w:val="20"/>
                <w:szCs w:val="20"/>
                <w:lang w:val="en-GB"/>
              </w:rPr>
              <w:t>cf. section 5.3.2</w:t>
            </w:r>
          </w:p>
        </w:tc>
        <w:tc>
          <w:tcPr>
            <w:tcW w:w="1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9DF37" w14:textId="016EC2A2" w:rsidR="00C86471" w:rsidRPr="008E37A0" w:rsidRDefault="00C86471" w:rsidP="00C86471">
            <w:pPr>
              <w:pStyle w:val="Text2"/>
              <w:spacing w:before="0" w:after="0"/>
              <w:ind w:left="0"/>
              <w:jc w:val="right"/>
              <w:rPr>
                <w:sz w:val="20"/>
                <w:szCs w:val="20"/>
                <w:lang w:val="en-GB"/>
              </w:rPr>
            </w:pPr>
            <w:r w:rsidRPr="008E37A0">
              <w:rPr>
                <w:rStyle w:val="Nessuno"/>
                <w:sz w:val="20"/>
                <w:szCs w:val="20"/>
                <w:lang w:val="en-GB"/>
              </w:rPr>
              <w:t>EUR …M</w:t>
            </w:r>
          </w:p>
        </w:tc>
        <w:tc>
          <w:tcPr>
            <w:tcW w:w="20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4F0F0" w14:textId="77777777" w:rsidR="00C86471" w:rsidRPr="008E37A0" w:rsidRDefault="00C86471" w:rsidP="00C86471">
            <w:pPr>
              <w:pStyle w:val="Text2"/>
              <w:spacing w:before="0" w:after="0"/>
              <w:ind w:left="0"/>
              <w:jc w:val="right"/>
              <w:rPr>
                <w:sz w:val="20"/>
                <w:szCs w:val="20"/>
                <w:lang w:val="en-GB"/>
              </w:rPr>
            </w:pPr>
            <w:r w:rsidRPr="008E37A0">
              <w:rPr>
                <w:rStyle w:val="Nessuno"/>
                <w:sz w:val="20"/>
                <w:szCs w:val="20"/>
                <w:lang w:val="en-GB"/>
              </w:rPr>
              <w:t>N.A.</w:t>
            </w:r>
          </w:p>
        </w:tc>
      </w:tr>
      <w:tr w:rsidR="00C86471" w:rsidRPr="008E37A0" w14:paraId="5957E8B8" w14:textId="77777777" w:rsidTr="006B6FC9">
        <w:trPr>
          <w:trHeight w:val="460"/>
        </w:trPr>
        <w:tc>
          <w:tcPr>
            <w:tcW w:w="1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06CE0" w14:textId="7ED4E18C" w:rsidR="00C86471" w:rsidRPr="008E37A0" w:rsidRDefault="00C86471" w:rsidP="00C86471">
            <w:pPr>
              <w:pStyle w:val="Text2"/>
              <w:spacing w:before="0" w:after="0"/>
              <w:ind w:left="0"/>
              <w:rPr>
                <w:sz w:val="20"/>
                <w:szCs w:val="20"/>
                <w:lang w:val="en-GB"/>
              </w:rPr>
            </w:pPr>
            <w:r w:rsidRPr="008E37A0">
              <w:rPr>
                <w:rStyle w:val="Nessuno"/>
                <w:sz w:val="20"/>
                <w:szCs w:val="20"/>
                <w:lang w:val="en-GB"/>
              </w:rPr>
              <w:t>Evaluation (</w:t>
            </w:r>
            <w:r w:rsidRPr="008E37A0">
              <w:rPr>
                <w:rStyle w:val="Nessuno"/>
                <w:i/>
                <w:sz w:val="20"/>
                <w:szCs w:val="20"/>
                <w:lang w:val="en-GB"/>
              </w:rPr>
              <w:t>cf. section 5.8</w:t>
            </w:r>
            <w:r w:rsidRPr="008E37A0">
              <w:rPr>
                <w:rStyle w:val="Nessuno"/>
                <w:sz w:val="20"/>
                <w:szCs w:val="20"/>
                <w:lang w:val="en-GB"/>
              </w:rPr>
              <w:t>), Audit (</w:t>
            </w:r>
            <w:r w:rsidRPr="008E37A0">
              <w:rPr>
                <w:rStyle w:val="Nessuno"/>
                <w:i/>
                <w:sz w:val="20"/>
                <w:szCs w:val="20"/>
                <w:lang w:val="en-GB"/>
              </w:rPr>
              <w:t>cf. section 5.9</w:t>
            </w:r>
            <w:r w:rsidRPr="008E37A0">
              <w:rPr>
                <w:rStyle w:val="Nessuno"/>
                <w:sz w:val="20"/>
                <w:szCs w:val="20"/>
                <w:lang w:val="en-GB"/>
              </w:rPr>
              <w:t xml:space="preserve">) </w:t>
            </w:r>
          </w:p>
        </w:tc>
        <w:tc>
          <w:tcPr>
            <w:tcW w:w="1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DB05B" w14:textId="22CBD9D9" w:rsidR="00C86471" w:rsidRPr="008E37A0" w:rsidRDefault="00C86471" w:rsidP="00C86471">
            <w:pPr>
              <w:pStyle w:val="Text2"/>
              <w:spacing w:before="0" w:after="0"/>
              <w:ind w:left="0"/>
              <w:jc w:val="right"/>
              <w:rPr>
                <w:sz w:val="20"/>
                <w:szCs w:val="20"/>
                <w:lang w:val="en-GB"/>
              </w:rPr>
            </w:pPr>
            <w:r w:rsidRPr="008E37A0">
              <w:rPr>
                <w:rStyle w:val="Nessuno"/>
                <w:sz w:val="20"/>
                <w:szCs w:val="20"/>
                <w:lang w:val="en-GB"/>
              </w:rPr>
              <w:t>EUR …M</w:t>
            </w:r>
          </w:p>
        </w:tc>
        <w:tc>
          <w:tcPr>
            <w:tcW w:w="20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36AE1" w14:textId="77777777" w:rsidR="00C86471" w:rsidRPr="008E37A0" w:rsidRDefault="00C86471" w:rsidP="00C86471">
            <w:pPr>
              <w:pStyle w:val="Text2"/>
              <w:spacing w:before="0" w:after="0"/>
              <w:ind w:left="0"/>
              <w:jc w:val="right"/>
              <w:rPr>
                <w:sz w:val="20"/>
                <w:szCs w:val="20"/>
                <w:lang w:val="en-GB"/>
              </w:rPr>
            </w:pPr>
            <w:r w:rsidRPr="008E37A0">
              <w:rPr>
                <w:rStyle w:val="Nessuno"/>
                <w:sz w:val="20"/>
                <w:szCs w:val="20"/>
                <w:lang w:val="en-GB"/>
              </w:rPr>
              <w:t>N.A.</w:t>
            </w:r>
          </w:p>
        </w:tc>
      </w:tr>
      <w:tr w:rsidR="00C86471" w:rsidRPr="008E37A0" w14:paraId="4E3B9F76" w14:textId="77777777" w:rsidTr="006B6FC9">
        <w:trPr>
          <w:trHeight w:val="460"/>
        </w:trPr>
        <w:tc>
          <w:tcPr>
            <w:tcW w:w="1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7B06A" w14:textId="1C0AFDDD" w:rsidR="00C86471" w:rsidRPr="008E37A0" w:rsidRDefault="00C86471" w:rsidP="00C86471">
            <w:pPr>
              <w:pStyle w:val="Text2"/>
              <w:spacing w:before="0" w:after="0"/>
              <w:ind w:left="0"/>
              <w:rPr>
                <w:sz w:val="20"/>
                <w:szCs w:val="20"/>
                <w:lang w:val="en-GB"/>
              </w:rPr>
            </w:pPr>
            <w:r w:rsidRPr="008E37A0">
              <w:rPr>
                <w:rStyle w:val="Nessuno"/>
                <w:sz w:val="20"/>
                <w:szCs w:val="20"/>
                <w:lang w:val="en-GB"/>
              </w:rPr>
              <w:t>Communication and visibility (</w:t>
            </w:r>
            <w:r w:rsidRPr="008E37A0">
              <w:rPr>
                <w:rStyle w:val="Nessuno"/>
                <w:i/>
                <w:sz w:val="20"/>
                <w:szCs w:val="20"/>
                <w:lang w:val="en-GB"/>
              </w:rPr>
              <w:t>cf. section 5.10</w:t>
            </w:r>
            <w:r w:rsidRPr="008E37A0">
              <w:rPr>
                <w:rStyle w:val="Nessuno"/>
                <w:sz w:val="20"/>
                <w:szCs w:val="20"/>
                <w:lang w:val="en-GB"/>
              </w:rPr>
              <w:t>)</w:t>
            </w:r>
          </w:p>
        </w:tc>
        <w:tc>
          <w:tcPr>
            <w:tcW w:w="1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7969F" w14:textId="6C3A072A" w:rsidR="00C86471" w:rsidRPr="008E37A0" w:rsidRDefault="00C86471" w:rsidP="00C86471">
            <w:pPr>
              <w:pStyle w:val="Text2"/>
              <w:spacing w:before="0" w:after="0"/>
              <w:ind w:left="0"/>
              <w:jc w:val="right"/>
              <w:rPr>
                <w:sz w:val="20"/>
                <w:szCs w:val="20"/>
                <w:lang w:val="en-GB"/>
              </w:rPr>
            </w:pPr>
            <w:r w:rsidRPr="008E37A0">
              <w:rPr>
                <w:rStyle w:val="Nessuno"/>
                <w:sz w:val="20"/>
                <w:szCs w:val="20"/>
                <w:lang w:val="en-GB"/>
              </w:rPr>
              <w:t>EUR …M</w:t>
            </w:r>
          </w:p>
        </w:tc>
        <w:tc>
          <w:tcPr>
            <w:tcW w:w="20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A0983" w14:textId="77777777" w:rsidR="00C86471" w:rsidRPr="008E37A0" w:rsidRDefault="00C86471" w:rsidP="00C86471">
            <w:pPr>
              <w:pStyle w:val="Text2"/>
              <w:spacing w:before="0" w:after="0"/>
              <w:ind w:left="0"/>
              <w:jc w:val="right"/>
              <w:rPr>
                <w:sz w:val="20"/>
                <w:szCs w:val="20"/>
                <w:lang w:val="en-GB"/>
              </w:rPr>
            </w:pPr>
            <w:r w:rsidRPr="008E37A0">
              <w:rPr>
                <w:rStyle w:val="Nessuno"/>
                <w:sz w:val="20"/>
                <w:szCs w:val="20"/>
                <w:lang w:val="en-GB"/>
              </w:rPr>
              <w:t>N.A.</w:t>
            </w:r>
          </w:p>
        </w:tc>
      </w:tr>
      <w:tr w:rsidR="00C86471" w:rsidRPr="008E37A0" w14:paraId="39D68025" w14:textId="77777777" w:rsidTr="006B6FC9">
        <w:trPr>
          <w:trHeight w:val="460"/>
        </w:trPr>
        <w:tc>
          <w:tcPr>
            <w:tcW w:w="1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14689" w14:textId="7DBD22AD" w:rsidR="00C86471" w:rsidRPr="008E37A0" w:rsidRDefault="00C86471" w:rsidP="00C86471">
            <w:pPr>
              <w:pStyle w:val="Text2"/>
              <w:spacing w:before="0" w:after="0"/>
              <w:ind w:left="0"/>
              <w:rPr>
                <w:b/>
                <w:sz w:val="20"/>
                <w:szCs w:val="20"/>
                <w:lang w:val="en-GB"/>
              </w:rPr>
            </w:pPr>
            <w:r w:rsidRPr="008E37A0">
              <w:rPr>
                <w:rStyle w:val="Nessuno"/>
                <w:b/>
                <w:sz w:val="20"/>
                <w:szCs w:val="20"/>
                <w:lang w:val="en-GB"/>
              </w:rPr>
              <w:t>Total</w:t>
            </w:r>
          </w:p>
        </w:tc>
        <w:tc>
          <w:tcPr>
            <w:tcW w:w="1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BD95A" w14:textId="53C6958B" w:rsidR="00C86471" w:rsidRPr="008E37A0" w:rsidRDefault="00C86471" w:rsidP="00C86471">
            <w:pPr>
              <w:pStyle w:val="Text2"/>
              <w:spacing w:before="0" w:after="0"/>
              <w:ind w:left="0"/>
              <w:jc w:val="right"/>
              <w:rPr>
                <w:sz w:val="20"/>
                <w:szCs w:val="20"/>
                <w:lang w:val="en-GB"/>
              </w:rPr>
            </w:pPr>
            <w:r w:rsidRPr="008E37A0">
              <w:rPr>
                <w:rStyle w:val="Nessuno"/>
                <w:sz w:val="20"/>
                <w:szCs w:val="20"/>
                <w:lang w:val="en-GB"/>
              </w:rPr>
              <w:t>EUR …M</w:t>
            </w:r>
          </w:p>
        </w:tc>
        <w:tc>
          <w:tcPr>
            <w:tcW w:w="20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E1489" w14:textId="0B91AB1E" w:rsidR="00C86471" w:rsidRPr="008E37A0" w:rsidRDefault="00C86471" w:rsidP="00C86471">
            <w:pPr>
              <w:pStyle w:val="Text2"/>
              <w:spacing w:before="0" w:after="0"/>
              <w:ind w:left="0"/>
              <w:jc w:val="right"/>
              <w:rPr>
                <w:sz w:val="20"/>
                <w:szCs w:val="20"/>
                <w:lang w:val="en-GB"/>
              </w:rPr>
            </w:pPr>
            <w:r w:rsidRPr="008E37A0">
              <w:rPr>
                <w:sz w:val="20"/>
                <w:szCs w:val="20"/>
                <w:lang w:val="en-GB"/>
              </w:rPr>
              <w:t xml:space="preserve">N.A. </w:t>
            </w:r>
          </w:p>
        </w:tc>
      </w:tr>
    </w:tbl>
    <w:p w14:paraId="696FE737" w14:textId="6E0F071A" w:rsidR="00D07F0B" w:rsidRPr="008E37A0" w:rsidRDefault="00B60082" w:rsidP="0097546E">
      <w:pPr>
        <w:pStyle w:val="Cmsor2"/>
        <w:numPr>
          <w:ilvl w:val="0"/>
          <w:numId w:val="0"/>
        </w:numPr>
        <w:tabs>
          <w:tab w:val="clear" w:pos="840"/>
        </w:tabs>
        <w:ind w:left="576" w:hanging="576"/>
        <w:rPr>
          <w:snapToGrid w:val="0"/>
        </w:rPr>
      </w:pPr>
      <w:r w:rsidRPr="008E37A0">
        <w:rPr>
          <w:iCs w:val="0"/>
        </w:rPr>
        <w:t xml:space="preserve">5.6 </w:t>
      </w:r>
      <w:r w:rsidRPr="008E37A0">
        <w:rPr>
          <w:iCs w:val="0"/>
        </w:rPr>
        <w:tab/>
      </w:r>
      <w:r w:rsidR="00632ACC" w:rsidRPr="008E37A0">
        <w:rPr>
          <w:iCs w:val="0"/>
        </w:rPr>
        <w:tab/>
      </w:r>
      <w:r w:rsidRPr="008E37A0">
        <w:t>Organisational set-up and responsibilities</w:t>
      </w:r>
      <w:bookmarkStart w:id="8" w:name="_Toc391992328"/>
      <w:bookmarkStart w:id="9" w:name="_Toc391999078"/>
    </w:p>
    <w:p w14:paraId="2A6FB003" w14:textId="6964136F" w:rsidR="00D07F0B" w:rsidRPr="008E37A0" w:rsidRDefault="00D07F0B" w:rsidP="00D54AF1">
      <w:pPr>
        <w:pStyle w:val="Text1"/>
        <w:spacing w:before="0"/>
        <w:ind w:left="0"/>
        <w:rPr>
          <w:snapToGrid w:val="0"/>
          <w:sz w:val="22"/>
          <w:lang w:val="en-GB"/>
        </w:rPr>
      </w:pPr>
      <w:r w:rsidRPr="008E37A0">
        <w:rPr>
          <w:snapToGrid w:val="0"/>
          <w:sz w:val="22"/>
          <w:lang w:val="en-GB"/>
        </w:rPr>
        <w:t>The EU</w:t>
      </w:r>
      <w:r w:rsidR="006B6FC9" w:rsidRPr="008E37A0">
        <w:rPr>
          <w:snapToGrid w:val="0"/>
          <w:sz w:val="22"/>
          <w:lang w:val="en-GB"/>
        </w:rPr>
        <w:t xml:space="preserve"> </w:t>
      </w:r>
      <w:r w:rsidRPr="008E37A0">
        <w:rPr>
          <w:snapToGrid w:val="0"/>
          <w:sz w:val="22"/>
          <w:lang w:val="en-GB"/>
        </w:rPr>
        <w:t>D</w:t>
      </w:r>
      <w:r w:rsidR="006B6FC9" w:rsidRPr="008E37A0">
        <w:rPr>
          <w:snapToGrid w:val="0"/>
          <w:sz w:val="22"/>
          <w:lang w:val="en-GB"/>
        </w:rPr>
        <w:t>elegation</w:t>
      </w:r>
      <w:r w:rsidRPr="008E37A0">
        <w:rPr>
          <w:snapToGrid w:val="0"/>
          <w:sz w:val="22"/>
          <w:lang w:val="en-GB"/>
        </w:rPr>
        <w:t xml:space="preserve"> will pay specific attention to the overall progress in achieving the objectives of the </w:t>
      </w:r>
      <w:r w:rsidR="004673FF" w:rsidRPr="008E37A0">
        <w:rPr>
          <w:snapToGrid w:val="0"/>
          <w:sz w:val="22"/>
          <w:lang w:val="en-GB"/>
        </w:rPr>
        <w:t>a</w:t>
      </w:r>
      <w:r w:rsidRPr="008E37A0">
        <w:rPr>
          <w:snapToGrid w:val="0"/>
          <w:sz w:val="22"/>
          <w:lang w:val="en-GB"/>
        </w:rPr>
        <w:t xml:space="preserve">ction fostering cooperation and synergies between the entities implementing its three components. It will be a contractual requirement for each entity in charge of implementation to ensure and demonstrate this cooperation. A specific requirement of the contract with WHO will be the provision of the necessary coordination support for the entire program implementation enabling an effective steering capacity for the EU and the government. Among other activities, this support will ensure the formal coordination of the three components through the organisation of steering committees at </w:t>
      </w:r>
      <w:r w:rsidR="00DD4577" w:rsidRPr="008E37A0">
        <w:rPr>
          <w:snapToGrid w:val="0"/>
          <w:sz w:val="22"/>
          <w:lang w:val="en-GB"/>
        </w:rPr>
        <w:t xml:space="preserve">the </w:t>
      </w:r>
      <w:r w:rsidR="004673FF" w:rsidRPr="008E37A0">
        <w:rPr>
          <w:snapToGrid w:val="0"/>
          <w:sz w:val="22"/>
          <w:lang w:val="en-GB"/>
        </w:rPr>
        <w:t>a</w:t>
      </w:r>
      <w:r w:rsidR="006B6FC9" w:rsidRPr="008E37A0">
        <w:rPr>
          <w:snapToGrid w:val="0"/>
          <w:sz w:val="22"/>
          <w:lang w:val="en-GB"/>
        </w:rPr>
        <w:t xml:space="preserve">ction </w:t>
      </w:r>
      <w:r w:rsidRPr="008E37A0">
        <w:rPr>
          <w:snapToGrid w:val="0"/>
          <w:sz w:val="22"/>
          <w:lang w:val="en-GB"/>
        </w:rPr>
        <w:t>level twice a year.</w:t>
      </w:r>
    </w:p>
    <w:bookmarkEnd w:id="8"/>
    <w:bookmarkEnd w:id="9"/>
    <w:p w14:paraId="1A44FB57" w14:textId="202B09E1" w:rsidR="00A87712" w:rsidRPr="008E37A0" w:rsidRDefault="00A87712" w:rsidP="00A87712">
      <w:pPr>
        <w:pStyle w:val="Cmsor2"/>
        <w:numPr>
          <w:ilvl w:val="0"/>
          <w:numId w:val="0"/>
        </w:numPr>
        <w:tabs>
          <w:tab w:val="clear" w:pos="840"/>
        </w:tabs>
        <w:ind w:left="576" w:hanging="576"/>
      </w:pPr>
      <w:r w:rsidRPr="008E37A0">
        <w:lastRenderedPageBreak/>
        <w:t xml:space="preserve">5.7 </w:t>
      </w:r>
      <w:r w:rsidRPr="008E37A0">
        <w:tab/>
      </w:r>
      <w:r w:rsidRPr="008E37A0">
        <w:tab/>
        <w:t xml:space="preserve">Performance and </w:t>
      </w:r>
      <w:r w:rsidR="00D6429C" w:rsidRPr="008E37A0">
        <w:t>r</w:t>
      </w:r>
      <w:r w:rsidRPr="008E37A0">
        <w:t xml:space="preserve">esults monitoring and reporting </w:t>
      </w:r>
    </w:p>
    <w:p w14:paraId="61B321C7" w14:textId="4DA78501" w:rsidR="00A87712" w:rsidRPr="008E37A0" w:rsidRDefault="00A87712" w:rsidP="00A87712">
      <w:pPr>
        <w:spacing w:before="120"/>
        <w:jc w:val="both"/>
        <w:rPr>
          <w:rFonts w:cs="Arial Unicode MS"/>
          <w:color w:val="000000"/>
          <w:sz w:val="22"/>
          <w:szCs w:val="22"/>
          <w:u w:color="000000"/>
          <w:lang w:val="en-GB" w:eastAsia="en-GB"/>
        </w:rPr>
      </w:pPr>
      <w:r w:rsidRPr="008E37A0">
        <w:rPr>
          <w:rFonts w:cs="Arial Unicode MS"/>
          <w:color w:val="000000"/>
          <w:sz w:val="22"/>
          <w:szCs w:val="22"/>
          <w:u w:color="000000"/>
          <w:lang w:val="en-GB" w:eastAsia="en-GB"/>
        </w:rPr>
        <w:t xml:space="preserve">The day-to-day technical and financial monitoring of the implementation of this </w:t>
      </w:r>
      <w:r w:rsidR="004673FF" w:rsidRPr="008E37A0">
        <w:rPr>
          <w:rFonts w:cs="Arial Unicode MS"/>
          <w:color w:val="000000"/>
          <w:sz w:val="22"/>
          <w:szCs w:val="22"/>
          <w:u w:color="000000"/>
          <w:lang w:val="en-GB" w:eastAsia="en-GB"/>
        </w:rPr>
        <w:t>a</w:t>
      </w:r>
      <w:r w:rsidRPr="008E37A0">
        <w:rPr>
          <w:rFonts w:cs="Arial Unicode MS"/>
          <w:color w:val="000000"/>
          <w:sz w:val="22"/>
          <w:szCs w:val="22"/>
          <w:u w:color="000000"/>
          <w:lang w:val="en-GB" w:eastAsia="en-GB"/>
        </w:rPr>
        <w:t xml:space="preserve">ction will be a continuous process, and part of the implementing partner’s responsibilities. To this aim, the implementing partner shall establish a permanent internal, technical and financial monitoring system for the </w:t>
      </w:r>
      <w:r w:rsidR="004673FF" w:rsidRPr="008E37A0">
        <w:rPr>
          <w:rFonts w:cs="Arial Unicode MS"/>
          <w:color w:val="000000"/>
          <w:sz w:val="22"/>
          <w:szCs w:val="22"/>
          <w:u w:color="000000"/>
          <w:lang w:val="en-GB" w:eastAsia="en-GB"/>
        </w:rPr>
        <w:t>a</w:t>
      </w:r>
      <w:r w:rsidRPr="008E37A0">
        <w:rPr>
          <w:rFonts w:cs="Arial Unicode MS"/>
          <w:color w:val="000000"/>
          <w:sz w:val="22"/>
          <w:szCs w:val="22"/>
          <w:u w:color="000000"/>
          <w:lang w:val="en-GB" w:eastAsia="en-GB"/>
        </w:rPr>
        <w:t xml:space="preserve">ction and elaborate regular progress reports (not less than annual) and final reports. Every report shall provide an accurate account of implementation of the action, difficulties encountered, changes introduced, as well as the degree of achievement of its results (outputs and direct outcomes) as measured by corresponding indicators, using as reference the </w:t>
      </w:r>
      <w:r w:rsidR="00A12BDE">
        <w:rPr>
          <w:rFonts w:cs="Arial Unicode MS"/>
          <w:color w:val="000000"/>
          <w:sz w:val="22"/>
          <w:szCs w:val="22"/>
          <w:u w:color="000000"/>
          <w:lang w:val="en-GB" w:eastAsia="en-GB"/>
        </w:rPr>
        <w:t>L</w:t>
      </w:r>
      <w:r w:rsidRPr="008E37A0">
        <w:rPr>
          <w:rFonts w:cs="Arial Unicode MS"/>
          <w:color w:val="000000"/>
          <w:sz w:val="22"/>
          <w:szCs w:val="22"/>
          <w:u w:color="000000"/>
          <w:lang w:val="en-GB" w:eastAsia="en-GB"/>
        </w:rPr>
        <w:t>og</w:t>
      </w:r>
      <w:r w:rsidR="00A12BDE">
        <w:rPr>
          <w:rFonts w:cs="Arial Unicode MS"/>
          <w:color w:val="000000"/>
          <w:sz w:val="22"/>
          <w:szCs w:val="22"/>
          <w:u w:color="000000"/>
          <w:lang w:val="en-GB" w:eastAsia="en-GB"/>
        </w:rPr>
        <w:t>ical F</w:t>
      </w:r>
      <w:r w:rsidRPr="008E37A0">
        <w:rPr>
          <w:rFonts w:cs="Arial Unicode MS"/>
          <w:color w:val="000000"/>
          <w:sz w:val="22"/>
          <w:szCs w:val="22"/>
          <w:u w:color="000000"/>
          <w:lang w:val="en-GB" w:eastAsia="en-GB"/>
        </w:rPr>
        <w:t>rame</w:t>
      </w:r>
      <w:r w:rsidR="00A12BDE">
        <w:rPr>
          <w:rFonts w:cs="Arial Unicode MS"/>
          <w:color w:val="000000"/>
          <w:sz w:val="22"/>
          <w:szCs w:val="22"/>
          <w:u w:color="000000"/>
          <w:lang w:val="en-GB" w:eastAsia="en-GB"/>
        </w:rPr>
        <w:t>work M</w:t>
      </w:r>
      <w:r w:rsidRPr="008E37A0">
        <w:rPr>
          <w:rFonts w:cs="Arial Unicode MS"/>
          <w:color w:val="000000"/>
          <w:sz w:val="22"/>
          <w:szCs w:val="22"/>
          <w:u w:color="000000"/>
          <w:lang w:val="en-GB" w:eastAsia="en-GB"/>
        </w:rPr>
        <w:t xml:space="preserve">atrix. </w:t>
      </w:r>
    </w:p>
    <w:p w14:paraId="3023A96F" w14:textId="77777777" w:rsidR="00A87712" w:rsidRPr="008E37A0" w:rsidRDefault="00A87712" w:rsidP="00A87712">
      <w:pPr>
        <w:spacing w:before="120"/>
        <w:jc w:val="both"/>
        <w:rPr>
          <w:rFonts w:cs="Arial Unicode MS"/>
          <w:color w:val="000000"/>
          <w:sz w:val="22"/>
          <w:szCs w:val="22"/>
          <w:u w:color="000000"/>
          <w:lang w:val="en-GB" w:eastAsia="en-GB"/>
        </w:rPr>
      </w:pPr>
      <w:r w:rsidRPr="008E37A0">
        <w:rPr>
          <w:rFonts w:cs="Arial Unicode MS"/>
          <w:color w:val="000000"/>
          <w:sz w:val="22"/>
          <w:szCs w:val="22"/>
          <w:u w:color="000000"/>
          <w:lang w:val="en-GB" w:eastAsia="en-GB"/>
        </w:rPr>
        <w:t>Reports shall be laid out in such a way as to allow monitoring of the means envisaged and employed and of the budget details for the action. The final report, narrative and financial, will cover the entire period of the action implementation.</w:t>
      </w:r>
    </w:p>
    <w:p w14:paraId="6327CE81" w14:textId="77777777" w:rsidR="00A87712" w:rsidRPr="008E37A0" w:rsidRDefault="00A87712" w:rsidP="00A87712">
      <w:pPr>
        <w:spacing w:before="120"/>
        <w:jc w:val="both"/>
        <w:rPr>
          <w:rFonts w:cs="Arial Unicode MS"/>
          <w:color w:val="000000"/>
          <w:sz w:val="22"/>
          <w:szCs w:val="22"/>
          <w:u w:color="000000"/>
          <w:lang w:val="en-GB" w:eastAsia="en-GB"/>
        </w:rPr>
      </w:pPr>
      <w:r w:rsidRPr="008E37A0">
        <w:rPr>
          <w:rFonts w:cs="Arial Unicode MS"/>
          <w:color w:val="000000"/>
          <w:sz w:val="22"/>
          <w:szCs w:val="22"/>
          <w:u w:color="000000"/>
          <w:lang w:val="en-GB" w:eastAsia="en-GB"/>
        </w:rPr>
        <w:t>The Commission may undertake additional project monitoring visits both through its own staff and through independent consultants recruited directly by the Commission for independent monitoring reviews (or recruited by the responsible agent contracted by the Commission for implementing such reviews).</w:t>
      </w:r>
    </w:p>
    <w:p w14:paraId="309656FC" w14:textId="7FDEE5A9" w:rsidR="00351AA1" w:rsidRPr="008E37A0" w:rsidRDefault="00351AA1" w:rsidP="00D54AF1">
      <w:pPr>
        <w:pStyle w:val="Cmsor2"/>
        <w:numPr>
          <w:ilvl w:val="0"/>
          <w:numId w:val="0"/>
        </w:numPr>
        <w:tabs>
          <w:tab w:val="clear" w:pos="840"/>
        </w:tabs>
        <w:ind w:left="576" w:hanging="576"/>
      </w:pPr>
      <w:r w:rsidRPr="008E37A0">
        <w:t>5.</w:t>
      </w:r>
      <w:r w:rsidR="00A87712" w:rsidRPr="008E37A0">
        <w:t>8</w:t>
      </w:r>
      <w:r w:rsidRPr="008E37A0">
        <w:t xml:space="preserve"> </w:t>
      </w:r>
      <w:r w:rsidRPr="008E37A0">
        <w:tab/>
      </w:r>
      <w:bookmarkStart w:id="10" w:name="_Toc392858026"/>
      <w:bookmarkStart w:id="11" w:name="_Ref399942520"/>
      <w:bookmarkStart w:id="12" w:name="_Toc391022375"/>
      <w:bookmarkStart w:id="13" w:name="_Toc391537218"/>
      <w:r w:rsidR="00632ACC" w:rsidRPr="008E37A0">
        <w:tab/>
      </w:r>
      <w:r w:rsidRPr="008E37A0">
        <w:t>Evaluation</w:t>
      </w:r>
      <w:bookmarkEnd w:id="10"/>
      <w:bookmarkEnd w:id="11"/>
      <w:r w:rsidRPr="008E37A0">
        <w:t xml:space="preserve"> </w:t>
      </w:r>
      <w:bookmarkEnd w:id="12"/>
      <w:bookmarkEnd w:id="13"/>
    </w:p>
    <w:p w14:paraId="1293DAA4" w14:textId="2E26B6E2" w:rsidR="007C495A" w:rsidRPr="008E37A0" w:rsidRDefault="00351AA1" w:rsidP="00D54AF1">
      <w:pPr>
        <w:pStyle w:val="Text1"/>
        <w:spacing w:before="0"/>
        <w:ind w:left="0"/>
        <w:rPr>
          <w:sz w:val="22"/>
          <w:szCs w:val="22"/>
          <w:lang w:val="en-GB"/>
        </w:rPr>
      </w:pPr>
      <w:r w:rsidRPr="008E37A0">
        <w:rPr>
          <w:sz w:val="22"/>
          <w:szCs w:val="22"/>
          <w:lang w:val="en-GB"/>
        </w:rPr>
        <w:t xml:space="preserve">Having regard to the importance of the action, </w:t>
      </w:r>
      <w:r w:rsidR="0084439E" w:rsidRPr="008E37A0">
        <w:rPr>
          <w:sz w:val="22"/>
          <w:szCs w:val="22"/>
          <w:lang w:val="en-GB"/>
        </w:rPr>
        <w:t>a mid-term</w:t>
      </w:r>
      <w:r w:rsidRPr="008E37A0">
        <w:rPr>
          <w:sz w:val="22"/>
          <w:szCs w:val="22"/>
          <w:lang w:val="en-GB"/>
        </w:rPr>
        <w:t xml:space="preserve"> </w:t>
      </w:r>
      <w:r w:rsidR="0084439E" w:rsidRPr="008E37A0">
        <w:rPr>
          <w:sz w:val="22"/>
          <w:szCs w:val="22"/>
          <w:lang w:val="en-GB"/>
        </w:rPr>
        <w:t>and ex-post evaluation</w:t>
      </w:r>
      <w:r w:rsidRPr="008E37A0">
        <w:rPr>
          <w:sz w:val="22"/>
          <w:szCs w:val="22"/>
          <w:lang w:val="en-GB"/>
        </w:rPr>
        <w:t xml:space="preserve"> will be carried out for this action or its </w:t>
      </w:r>
      <w:r w:rsidR="00EB6A75" w:rsidRPr="008E37A0">
        <w:rPr>
          <w:sz w:val="22"/>
          <w:szCs w:val="22"/>
          <w:lang w:val="en-GB"/>
        </w:rPr>
        <w:t xml:space="preserve">components </w:t>
      </w:r>
      <w:r w:rsidRPr="008E37A0">
        <w:rPr>
          <w:sz w:val="22"/>
          <w:szCs w:val="22"/>
          <w:lang w:val="en-GB"/>
        </w:rPr>
        <w:t>via independent consultants</w:t>
      </w:r>
      <w:r w:rsidR="0084439E" w:rsidRPr="008E37A0">
        <w:rPr>
          <w:sz w:val="22"/>
          <w:szCs w:val="22"/>
          <w:lang w:val="en-GB"/>
        </w:rPr>
        <w:t xml:space="preserve"> contracted by the Commission</w:t>
      </w:r>
      <w:r w:rsidRPr="008E37A0">
        <w:rPr>
          <w:sz w:val="22"/>
          <w:szCs w:val="22"/>
          <w:lang w:val="en-GB"/>
        </w:rPr>
        <w:t xml:space="preserve">. </w:t>
      </w:r>
    </w:p>
    <w:p w14:paraId="48CD4F75" w14:textId="61B55FD0" w:rsidR="0084439E" w:rsidRPr="008E37A0" w:rsidRDefault="0084439E" w:rsidP="0084439E">
      <w:pPr>
        <w:spacing w:before="120"/>
        <w:jc w:val="both"/>
        <w:rPr>
          <w:rFonts w:cs="Arial Unicode MS"/>
          <w:color w:val="000000"/>
          <w:sz w:val="22"/>
          <w:szCs w:val="22"/>
          <w:u w:color="000000"/>
          <w:lang w:val="en-GB" w:eastAsia="en-GB"/>
        </w:rPr>
      </w:pPr>
      <w:r w:rsidRPr="008E37A0">
        <w:rPr>
          <w:rFonts w:cs="Arial Unicode MS"/>
          <w:color w:val="000000"/>
          <w:sz w:val="22"/>
          <w:szCs w:val="22"/>
          <w:u w:color="000000"/>
          <w:lang w:val="en-GB" w:eastAsia="en-GB"/>
        </w:rPr>
        <w:t>The mid-term evaluation will be carried out for learning purposes, in particular with respect to further EU support or other donor support in the area. The ex-post evaluation will be carried out for accountability and learning purposes at various levels (including for policy revision).</w:t>
      </w:r>
    </w:p>
    <w:p w14:paraId="076E0CA8" w14:textId="77777777" w:rsidR="0084439E" w:rsidRPr="008E37A0" w:rsidRDefault="0084439E" w:rsidP="0084439E">
      <w:pPr>
        <w:spacing w:before="120"/>
        <w:jc w:val="both"/>
        <w:rPr>
          <w:rFonts w:cs="Arial Unicode MS"/>
          <w:color w:val="000000"/>
          <w:sz w:val="22"/>
          <w:szCs w:val="22"/>
          <w:u w:color="000000"/>
          <w:lang w:val="en-GB" w:eastAsia="en-GB"/>
        </w:rPr>
      </w:pPr>
      <w:r w:rsidRPr="008E37A0">
        <w:rPr>
          <w:rFonts w:cs="Arial Unicode MS"/>
          <w:color w:val="000000"/>
          <w:sz w:val="22"/>
          <w:szCs w:val="22"/>
          <w:u w:color="000000"/>
          <w:lang w:val="en-GB" w:eastAsia="en-GB"/>
        </w:rPr>
        <w:t>The evaluation reports shall be shared with the partner country and other key stakeholders. The implementing partner and the Commission shall analyse the conclusions and recommendations of the evaluations and, where appropriate, in agreement with the partner country, jointly decide on the follow-up actions to be taken and any adjustments necessary, including, if indicated, the reorientation of the project.</w:t>
      </w:r>
    </w:p>
    <w:p w14:paraId="23E831A5" w14:textId="77777777" w:rsidR="0084439E" w:rsidRPr="008E37A0" w:rsidRDefault="0084439E" w:rsidP="0084439E">
      <w:pPr>
        <w:spacing w:before="120"/>
        <w:jc w:val="both"/>
        <w:rPr>
          <w:rFonts w:cs="Arial Unicode MS"/>
          <w:color w:val="000000"/>
          <w:sz w:val="22"/>
          <w:szCs w:val="22"/>
          <w:u w:color="000000"/>
          <w:lang w:val="en-GB" w:eastAsia="en-GB"/>
        </w:rPr>
      </w:pPr>
      <w:r w:rsidRPr="008E37A0">
        <w:rPr>
          <w:rFonts w:cs="Arial Unicode MS"/>
          <w:color w:val="000000"/>
          <w:sz w:val="22"/>
          <w:szCs w:val="22"/>
          <w:u w:color="000000"/>
          <w:lang w:val="en-GB" w:eastAsia="en-GB"/>
        </w:rPr>
        <w:t>The financing of the evaluation shall be covered by another measure constituting a financing decision.</w:t>
      </w:r>
    </w:p>
    <w:p w14:paraId="6BE6D5D4" w14:textId="4784DDCE" w:rsidR="00351AA1" w:rsidRPr="008E37A0" w:rsidRDefault="00A87712" w:rsidP="00D54AF1">
      <w:pPr>
        <w:pStyle w:val="Cmsor2"/>
        <w:numPr>
          <w:ilvl w:val="0"/>
          <w:numId w:val="0"/>
        </w:numPr>
        <w:tabs>
          <w:tab w:val="clear" w:pos="840"/>
        </w:tabs>
        <w:ind w:left="576" w:hanging="576"/>
      </w:pPr>
      <w:r w:rsidRPr="008E37A0">
        <w:t>5.9</w:t>
      </w:r>
      <w:r w:rsidR="00351AA1" w:rsidRPr="008E37A0">
        <w:tab/>
      </w:r>
      <w:bookmarkStart w:id="14" w:name="_Toc391999081"/>
      <w:bookmarkStart w:id="15" w:name="_Toc392858027"/>
      <w:bookmarkStart w:id="16" w:name="_Ref399942528"/>
      <w:r w:rsidR="00632ACC" w:rsidRPr="008E37A0">
        <w:tab/>
      </w:r>
      <w:r w:rsidR="00351AA1" w:rsidRPr="008E37A0">
        <w:t>Audit</w:t>
      </w:r>
      <w:bookmarkEnd w:id="14"/>
      <w:bookmarkEnd w:id="15"/>
      <w:bookmarkEnd w:id="16"/>
    </w:p>
    <w:p w14:paraId="11A62699" w14:textId="4CE77847" w:rsidR="007C495A" w:rsidRPr="008E37A0" w:rsidRDefault="00351AA1" w:rsidP="00D54AF1">
      <w:pPr>
        <w:pStyle w:val="Text1"/>
        <w:spacing w:before="0"/>
        <w:ind w:left="0"/>
        <w:rPr>
          <w:sz w:val="22"/>
          <w:szCs w:val="22"/>
          <w:lang w:val="en-GB"/>
        </w:rPr>
      </w:pPr>
      <w:r w:rsidRPr="008E37A0">
        <w:rPr>
          <w:sz w:val="22"/>
          <w:szCs w:val="22"/>
          <w:lang w:val="en-GB"/>
        </w:rPr>
        <w:t>Without prejudice to the obligations applicable to contracts concluded for the implementation of this action, the Commission may, on the basis of a risk assessment, contract independent audits or expenditure verification assignments for one or several contracts or agreements.</w:t>
      </w:r>
      <w:r w:rsidR="001A4A9E" w:rsidRPr="008E37A0">
        <w:rPr>
          <w:sz w:val="22"/>
          <w:szCs w:val="22"/>
          <w:lang w:val="en-GB"/>
        </w:rPr>
        <w:t xml:space="preserve"> </w:t>
      </w:r>
      <w:r w:rsidR="001C6192" w:rsidRPr="008E37A0">
        <w:rPr>
          <w:sz w:val="22"/>
          <w:szCs w:val="22"/>
          <w:lang w:val="en-GB"/>
        </w:rPr>
        <w:t>The financing of the audit shall be covered by another measure constituting a financing decision.</w:t>
      </w:r>
    </w:p>
    <w:p w14:paraId="2CED4BB6" w14:textId="177D0AE9" w:rsidR="00351AA1" w:rsidRPr="008E37A0" w:rsidRDefault="00351AA1" w:rsidP="00D54AF1">
      <w:pPr>
        <w:pStyle w:val="Cmsor2"/>
        <w:numPr>
          <w:ilvl w:val="0"/>
          <w:numId w:val="0"/>
        </w:numPr>
        <w:tabs>
          <w:tab w:val="clear" w:pos="840"/>
        </w:tabs>
        <w:ind w:left="576" w:hanging="576"/>
      </w:pPr>
      <w:r w:rsidRPr="008E37A0">
        <w:t>5.</w:t>
      </w:r>
      <w:r w:rsidR="00A87712" w:rsidRPr="008E37A0">
        <w:t>10</w:t>
      </w:r>
      <w:r w:rsidRPr="008E37A0">
        <w:t xml:space="preserve"> </w:t>
      </w:r>
      <w:r w:rsidRPr="008E37A0">
        <w:tab/>
      </w:r>
      <w:bookmarkStart w:id="17" w:name="_Toc391999082"/>
      <w:bookmarkStart w:id="18" w:name="_Toc392858028"/>
      <w:bookmarkStart w:id="19" w:name="_Toc391022376"/>
      <w:bookmarkStart w:id="20" w:name="_Toc391537219"/>
      <w:bookmarkStart w:id="21" w:name="_Ref399942534"/>
      <w:r w:rsidR="00632ACC" w:rsidRPr="008E37A0">
        <w:tab/>
      </w:r>
      <w:r w:rsidRPr="008E37A0">
        <w:t>Communication and visibility</w:t>
      </w:r>
      <w:bookmarkEnd w:id="17"/>
      <w:bookmarkEnd w:id="18"/>
      <w:bookmarkEnd w:id="19"/>
      <w:bookmarkEnd w:id="20"/>
      <w:bookmarkEnd w:id="21"/>
    </w:p>
    <w:p w14:paraId="544DC561" w14:textId="613B3F6A" w:rsidR="00692CD0" w:rsidRPr="008E37A0" w:rsidRDefault="00692CD0" w:rsidP="00D54AF1">
      <w:pPr>
        <w:pStyle w:val="Text1"/>
        <w:spacing w:before="0"/>
        <w:ind w:left="0"/>
        <w:rPr>
          <w:sz w:val="22"/>
          <w:szCs w:val="22"/>
          <w:lang w:val="en-GB"/>
        </w:rPr>
      </w:pPr>
      <w:r w:rsidRPr="008E37A0">
        <w:rPr>
          <w:sz w:val="22"/>
          <w:szCs w:val="22"/>
          <w:lang w:val="en-GB"/>
        </w:rPr>
        <w:t>Communication and visibility of the EU is a legal obligation for all exte</w:t>
      </w:r>
      <w:r w:rsidR="001C6192" w:rsidRPr="008E37A0">
        <w:rPr>
          <w:sz w:val="22"/>
          <w:szCs w:val="22"/>
          <w:lang w:val="en-GB"/>
        </w:rPr>
        <w:t xml:space="preserve">rnal actions funded by the EU. </w:t>
      </w:r>
      <w:r w:rsidRPr="008E37A0">
        <w:rPr>
          <w:sz w:val="22"/>
          <w:szCs w:val="22"/>
          <w:lang w:val="en-GB"/>
        </w:rPr>
        <w:t>This action shall contain communication and</w:t>
      </w:r>
      <w:r w:rsidR="001C6192" w:rsidRPr="008E37A0">
        <w:rPr>
          <w:sz w:val="22"/>
          <w:szCs w:val="22"/>
          <w:lang w:val="en-GB"/>
        </w:rPr>
        <w:t xml:space="preserve"> gender-aware</w:t>
      </w:r>
      <w:r w:rsidRPr="008E37A0">
        <w:rPr>
          <w:sz w:val="22"/>
          <w:szCs w:val="22"/>
          <w:lang w:val="en-GB"/>
        </w:rPr>
        <w:t xml:space="preserve"> visibility measures</w:t>
      </w:r>
      <w:r w:rsidR="001C6192" w:rsidRPr="008E37A0">
        <w:rPr>
          <w:sz w:val="22"/>
          <w:szCs w:val="22"/>
          <w:lang w:val="en-GB"/>
        </w:rPr>
        <w:t>,</w:t>
      </w:r>
      <w:r w:rsidRPr="008E37A0">
        <w:rPr>
          <w:sz w:val="22"/>
          <w:szCs w:val="22"/>
          <w:lang w:val="en-GB"/>
        </w:rPr>
        <w:t xml:space="preserve"> which shall be based on a specific Communication and Visibility Plan of</w:t>
      </w:r>
      <w:r w:rsidR="001C6192" w:rsidRPr="008E37A0">
        <w:rPr>
          <w:sz w:val="22"/>
          <w:szCs w:val="22"/>
          <w:lang w:val="en-GB"/>
        </w:rPr>
        <w:t xml:space="preserve"> the a</w:t>
      </w:r>
      <w:r w:rsidRPr="008E37A0">
        <w:rPr>
          <w:sz w:val="22"/>
          <w:szCs w:val="22"/>
          <w:lang w:val="en-GB"/>
        </w:rPr>
        <w:t>ction, to be elaborated at the start of implementation.</w:t>
      </w:r>
    </w:p>
    <w:p w14:paraId="469A047D" w14:textId="26478F9A" w:rsidR="00692CD0" w:rsidRPr="008E37A0" w:rsidRDefault="00692CD0" w:rsidP="00D54AF1">
      <w:pPr>
        <w:pStyle w:val="Text1"/>
        <w:spacing w:before="0"/>
        <w:ind w:left="0"/>
        <w:rPr>
          <w:sz w:val="22"/>
          <w:szCs w:val="22"/>
          <w:lang w:val="en-GB"/>
        </w:rPr>
      </w:pPr>
      <w:r w:rsidRPr="008E37A0">
        <w:rPr>
          <w:sz w:val="22"/>
          <w:szCs w:val="22"/>
          <w:lang w:val="en-GB"/>
        </w:rPr>
        <w:t>In terms of legal obligations on communication and visibility, the measures shall be implemented by the Commission, the partner country, contractors, grant beneficiaries and/or entrusted entitie</w:t>
      </w:r>
      <w:r w:rsidR="001C6192" w:rsidRPr="008E37A0">
        <w:rPr>
          <w:sz w:val="22"/>
          <w:szCs w:val="22"/>
          <w:lang w:val="en-GB"/>
        </w:rPr>
        <w:t xml:space="preserve">s. </w:t>
      </w:r>
      <w:r w:rsidRPr="008E37A0">
        <w:rPr>
          <w:sz w:val="22"/>
          <w:szCs w:val="22"/>
          <w:lang w:val="en-GB"/>
        </w:rPr>
        <w:t xml:space="preserve">Appropriate contractual obligations shall be included in, respectively, the financing agreement, procurement and grant contracts, and delegation agreements. </w:t>
      </w:r>
    </w:p>
    <w:p w14:paraId="1DAAF89E" w14:textId="13B3D1B4" w:rsidR="00692CD0" w:rsidRPr="008E37A0" w:rsidRDefault="00692CD0" w:rsidP="00D54AF1">
      <w:pPr>
        <w:pStyle w:val="Text1"/>
        <w:spacing w:before="0"/>
        <w:ind w:left="0"/>
        <w:rPr>
          <w:sz w:val="22"/>
          <w:szCs w:val="22"/>
          <w:highlight w:val="cyan"/>
          <w:lang w:val="en-GB"/>
        </w:rPr>
      </w:pPr>
      <w:r w:rsidRPr="008E37A0">
        <w:rPr>
          <w:sz w:val="22"/>
          <w:szCs w:val="22"/>
          <w:lang w:val="en-GB"/>
        </w:rPr>
        <w:t xml:space="preserve">The Communication and Visibility Requirements for European Union External Action (or any succeeding document) shall be used to establish the Communication and Visibility Plan of the </w:t>
      </w:r>
      <w:r w:rsidR="004673FF" w:rsidRPr="008E37A0">
        <w:rPr>
          <w:sz w:val="22"/>
          <w:szCs w:val="22"/>
          <w:lang w:val="en-GB"/>
        </w:rPr>
        <w:t>a</w:t>
      </w:r>
      <w:r w:rsidRPr="008E37A0">
        <w:rPr>
          <w:sz w:val="22"/>
          <w:szCs w:val="22"/>
          <w:lang w:val="en-GB"/>
        </w:rPr>
        <w:t xml:space="preserve">ction </w:t>
      </w:r>
      <w:r w:rsidR="001C6192" w:rsidRPr="008E37A0">
        <w:rPr>
          <w:sz w:val="22"/>
          <w:szCs w:val="22"/>
          <w:lang w:val="en-GB"/>
        </w:rPr>
        <w:t xml:space="preserve">to </w:t>
      </w:r>
      <w:r w:rsidR="003B4185" w:rsidRPr="008E37A0">
        <w:rPr>
          <w:sz w:val="22"/>
          <w:szCs w:val="22"/>
          <w:lang w:val="en-GB"/>
        </w:rPr>
        <w:t>fulfil</w:t>
      </w:r>
      <w:r w:rsidRPr="008E37A0">
        <w:rPr>
          <w:sz w:val="22"/>
          <w:szCs w:val="22"/>
          <w:lang w:val="en-GB"/>
        </w:rPr>
        <w:t xml:space="preserve"> the appropriate contractual obligations.</w:t>
      </w:r>
    </w:p>
    <w:p w14:paraId="0F7071B2" w14:textId="4DA1A0F6" w:rsidR="00932151" w:rsidRPr="008E37A0" w:rsidRDefault="00932151">
      <w:pPr>
        <w:rPr>
          <w:rFonts w:cs="Arial Unicode MS"/>
          <w:b/>
          <w:color w:val="000000"/>
          <w:u w:color="000000"/>
          <w:lang w:val="en-GB" w:eastAsia="en-GB"/>
        </w:rPr>
      </w:pPr>
    </w:p>
    <w:p w14:paraId="61466E5F" w14:textId="1F4AB0E1" w:rsidR="00932151" w:rsidRPr="008E37A0" w:rsidRDefault="00932151" w:rsidP="00D54AF1">
      <w:pPr>
        <w:pStyle w:val="Text2"/>
        <w:ind w:left="0"/>
        <w:rPr>
          <w:b/>
          <w:lang w:val="en-GB"/>
        </w:rPr>
      </w:pPr>
      <w:r w:rsidRPr="008E37A0">
        <w:rPr>
          <w:b/>
          <w:lang w:val="en-GB"/>
        </w:rPr>
        <w:lastRenderedPageBreak/>
        <w:t>List of abbreviations</w:t>
      </w:r>
    </w:p>
    <w:tbl>
      <w:tblPr>
        <w:tblStyle w:val="Rcsostblzat"/>
        <w:tblW w:w="0" w:type="auto"/>
        <w:tblLook w:val="04A0" w:firstRow="1" w:lastRow="0" w:firstColumn="1" w:lastColumn="0" w:noHBand="0" w:noVBand="1"/>
      </w:tblPr>
      <w:tblGrid>
        <w:gridCol w:w="2122"/>
        <w:gridCol w:w="6934"/>
      </w:tblGrid>
      <w:tr w:rsidR="00B92056" w:rsidRPr="008E37A0" w14:paraId="2D61C47C" w14:textId="77777777" w:rsidTr="00932151">
        <w:tc>
          <w:tcPr>
            <w:tcW w:w="2122" w:type="dxa"/>
          </w:tcPr>
          <w:p w14:paraId="17783D33"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AIDS</w:t>
            </w:r>
          </w:p>
        </w:tc>
        <w:tc>
          <w:tcPr>
            <w:tcW w:w="6934" w:type="dxa"/>
          </w:tcPr>
          <w:p w14:paraId="7AD08A97" w14:textId="5279B2B3"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Acquired Immune Deficiency Syndrome</w:t>
            </w:r>
          </w:p>
        </w:tc>
      </w:tr>
      <w:tr w:rsidR="00A12BDE" w:rsidRPr="008E37A0" w14:paraId="28A9DDED" w14:textId="77777777" w:rsidTr="00932151">
        <w:tc>
          <w:tcPr>
            <w:tcW w:w="2122" w:type="dxa"/>
          </w:tcPr>
          <w:p w14:paraId="73EC7608" w14:textId="2C35165A" w:rsidR="00A12BDE" w:rsidRPr="008E37A0" w:rsidRDefault="00A12BDE"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proofErr w:type="spellStart"/>
            <w:r>
              <w:rPr>
                <w:bCs/>
                <w:sz w:val="22"/>
                <w:szCs w:val="22"/>
                <w:lang w:val="en-GB"/>
              </w:rPr>
              <w:t>AoG</w:t>
            </w:r>
            <w:proofErr w:type="spellEnd"/>
          </w:p>
        </w:tc>
        <w:tc>
          <w:tcPr>
            <w:tcW w:w="6934" w:type="dxa"/>
          </w:tcPr>
          <w:p w14:paraId="5178F708" w14:textId="1C21B68A" w:rsidR="00A12BDE" w:rsidRPr="008E37A0" w:rsidRDefault="00A12BDE"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Pr>
                <w:bCs/>
                <w:sz w:val="22"/>
                <w:szCs w:val="22"/>
                <w:lang w:val="en-GB"/>
              </w:rPr>
              <w:t>Administration of Government</w:t>
            </w:r>
          </w:p>
        </w:tc>
      </w:tr>
      <w:tr w:rsidR="00B92056" w:rsidRPr="008E37A0" w14:paraId="2E0D8A87" w14:textId="77777777" w:rsidTr="00932151">
        <w:tc>
          <w:tcPr>
            <w:tcW w:w="2122" w:type="dxa"/>
          </w:tcPr>
          <w:p w14:paraId="1ABB85D1"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CDC</w:t>
            </w:r>
          </w:p>
        </w:tc>
        <w:tc>
          <w:tcPr>
            <w:tcW w:w="6934" w:type="dxa"/>
          </w:tcPr>
          <w:p w14:paraId="27096251" w14:textId="58C36421"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United States Center for Disease Control and Prevention</w:t>
            </w:r>
          </w:p>
        </w:tc>
      </w:tr>
      <w:tr w:rsidR="00B92056" w:rsidRPr="008E37A0" w14:paraId="06FD0D76" w14:textId="77777777" w:rsidTr="00932151">
        <w:tc>
          <w:tcPr>
            <w:tcW w:w="2122" w:type="dxa"/>
          </w:tcPr>
          <w:p w14:paraId="5888335C"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CHE</w:t>
            </w:r>
          </w:p>
        </w:tc>
        <w:tc>
          <w:tcPr>
            <w:tcW w:w="6934" w:type="dxa"/>
          </w:tcPr>
          <w:p w14:paraId="7C2733D9" w14:textId="4A28D66C"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Current Health Expenditure</w:t>
            </w:r>
          </w:p>
        </w:tc>
      </w:tr>
      <w:tr w:rsidR="00B92056" w:rsidRPr="008E37A0" w14:paraId="1D27476A" w14:textId="77777777" w:rsidTr="00932151">
        <w:tc>
          <w:tcPr>
            <w:tcW w:w="2122" w:type="dxa"/>
          </w:tcPr>
          <w:p w14:paraId="34FA24A3"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CIS</w:t>
            </w:r>
          </w:p>
        </w:tc>
        <w:tc>
          <w:tcPr>
            <w:tcW w:w="6934" w:type="dxa"/>
          </w:tcPr>
          <w:p w14:paraId="7B5C409A" w14:textId="7F3F1B19"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Commonwealth of Independent States</w:t>
            </w:r>
          </w:p>
        </w:tc>
      </w:tr>
      <w:tr w:rsidR="00B92056" w:rsidRPr="008E37A0" w14:paraId="029AB7C4" w14:textId="77777777" w:rsidTr="00932151">
        <w:tc>
          <w:tcPr>
            <w:tcW w:w="2122" w:type="dxa"/>
          </w:tcPr>
          <w:p w14:paraId="06EB5D8A"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CME</w:t>
            </w:r>
          </w:p>
        </w:tc>
        <w:tc>
          <w:tcPr>
            <w:tcW w:w="6934" w:type="dxa"/>
          </w:tcPr>
          <w:p w14:paraId="0E703B2C" w14:textId="360763FF"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Continuous Medical Education</w:t>
            </w:r>
          </w:p>
        </w:tc>
      </w:tr>
      <w:tr w:rsidR="00B92056" w:rsidRPr="008E37A0" w14:paraId="0565DF9A" w14:textId="77777777" w:rsidTr="00932151">
        <w:tc>
          <w:tcPr>
            <w:tcW w:w="2122" w:type="dxa"/>
          </w:tcPr>
          <w:p w14:paraId="04889733"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COPD</w:t>
            </w:r>
          </w:p>
        </w:tc>
        <w:tc>
          <w:tcPr>
            <w:tcW w:w="6934" w:type="dxa"/>
          </w:tcPr>
          <w:p w14:paraId="071D2D77" w14:textId="2DE743D1"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Chronic Obstructive Pulmonary Disease</w:t>
            </w:r>
          </w:p>
        </w:tc>
      </w:tr>
      <w:tr w:rsidR="00B92056" w:rsidRPr="008E37A0" w14:paraId="60ECBC71" w14:textId="77777777" w:rsidTr="00932151">
        <w:tc>
          <w:tcPr>
            <w:tcW w:w="2122" w:type="dxa"/>
          </w:tcPr>
          <w:p w14:paraId="303FD610"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CPD</w:t>
            </w:r>
          </w:p>
        </w:tc>
        <w:tc>
          <w:tcPr>
            <w:tcW w:w="6934" w:type="dxa"/>
          </w:tcPr>
          <w:p w14:paraId="1C0402D1" w14:textId="0C35C053"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Continuous Professional Development</w:t>
            </w:r>
          </w:p>
        </w:tc>
      </w:tr>
      <w:tr w:rsidR="00B92056" w:rsidRPr="008E37A0" w14:paraId="03F580B1" w14:textId="77777777" w:rsidTr="00932151">
        <w:tc>
          <w:tcPr>
            <w:tcW w:w="2122" w:type="dxa"/>
          </w:tcPr>
          <w:p w14:paraId="75061932"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DCC</w:t>
            </w:r>
          </w:p>
        </w:tc>
        <w:tc>
          <w:tcPr>
            <w:tcW w:w="6934" w:type="dxa"/>
          </w:tcPr>
          <w:p w14:paraId="0601891B" w14:textId="5CE761AD"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sz w:val="22"/>
                <w:szCs w:val="22"/>
                <w:lang w:val="en-GB"/>
              </w:rPr>
            </w:pPr>
            <w:r w:rsidRPr="008E37A0">
              <w:rPr>
                <w:sz w:val="22"/>
                <w:szCs w:val="22"/>
                <w:lang w:val="en-GB"/>
              </w:rPr>
              <w:t>Donor Coordination Council</w:t>
            </w:r>
          </w:p>
        </w:tc>
      </w:tr>
      <w:tr w:rsidR="00B92056" w:rsidRPr="008E37A0" w14:paraId="0F2DCF5F" w14:textId="77777777" w:rsidTr="00932151">
        <w:tc>
          <w:tcPr>
            <w:tcW w:w="2122" w:type="dxa"/>
          </w:tcPr>
          <w:p w14:paraId="7C56BC65"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DRG</w:t>
            </w:r>
          </w:p>
        </w:tc>
        <w:tc>
          <w:tcPr>
            <w:tcW w:w="6934" w:type="dxa"/>
          </w:tcPr>
          <w:p w14:paraId="26867471" w14:textId="409F2759"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Diagnosis Related Groups</w:t>
            </w:r>
          </w:p>
        </w:tc>
      </w:tr>
      <w:tr w:rsidR="00B92056" w:rsidRPr="008E37A0" w14:paraId="5F9D8C3D" w14:textId="77777777" w:rsidTr="00932151">
        <w:tc>
          <w:tcPr>
            <w:tcW w:w="2122" w:type="dxa"/>
          </w:tcPr>
          <w:p w14:paraId="6B792B74"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EU</w:t>
            </w:r>
          </w:p>
        </w:tc>
        <w:tc>
          <w:tcPr>
            <w:tcW w:w="6934" w:type="dxa"/>
          </w:tcPr>
          <w:p w14:paraId="2284E6F8" w14:textId="6C297B13"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European Union</w:t>
            </w:r>
          </w:p>
        </w:tc>
      </w:tr>
      <w:tr w:rsidR="00B92056" w:rsidRPr="008E37A0" w14:paraId="4F98FDDB" w14:textId="77777777" w:rsidTr="00932151">
        <w:tc>
          <w:tcPr>
            <w:tcW w:w="2122" w:type="dxa"/>
          </w:tcPr>
          <w:p w14:paraId="3A19D953"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GDP</w:t>
            </w:r>
          </w:p>
        </w:tc>
        <w:tc>
          <w:tcPr>
            <w:tcW w:w="6934" w:type="dxa"/>
          </w:tcPr>
          <w:p w14:paraId="0CB324D7" w14:textId="7AD54EAE"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Gross Domestic Product</w:t>
            </w:r>
          </w:p>
        </w:tc>
      </w:tr>
      <w:tr w:rsidR="00B92056" w:rsidRPr="008E37A0" w14:paraId="43CA6CD9" w14:textId="77777777" w:rsidTr="00932151">
        <w:tc>
          <w:tcPr>
            <w:tcW w:w="2122" w:type="dxa"/>
          </w:tcPr>
          <w:p w14:paraId="3B4FABC7"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GFATM</w:t>
            </w:r>
          </w:p>
        </w:tc>
        <w:tc>
          <w:tcPr>
            <w:tcW w:w="6934" w:type="dxa"/>
          </w:tcPr>
          <w:p w14:paraId="7A7DB660" w14:textId="380A733E"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Global Fund to Fight Aids, Tuberculosis and Malaria</w:t>
            </w:r>
          </w:p>
        </w:tc>
      </w:tr>
      <w:tr w:rsidR="00B92056" w:rsidRPr="008E37A0" w14:paraId="253F3423" w14:textId="77777777" w:rsidTr="00932151">
        <w:tc>
          <w:tcPr>
            <w:tcW w:w="2122" w:type="dxa"/>
          </w:tcPr>
          <w:p w14:paraId="47BE90EE"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GHI</w:t>
            </w:r>
          </w:p>
        </w:tc>
        <w:tc>
          <w:tcPr>
            <w:tcW w:w="6934" w:type="dxa"/>
          </w:tcPr>
          <w:p w14:paraId="74CADAF7" w14:textId="4A610A55"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Global Health Initiatives</w:t>
            </w:r>
          </w:p>
        </w:tc>
      </w:tr>
      <w:tr w:rsidR="00B92056" w:rsidRPr="008E37A0" w14:paraId="39A7E64B" w14:textId="77777777" w:rsidTr="00932151">
        <w:tc>
          <w:tcPr>
            <w:tcW w:w="2122" w:type="dxa"/>
          </w:tcPr>
          <w:p w14:paraId="04BFE6AE"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HDL</w:t>
            </w:r>
          </w:p>
        </w:tc>
        <w:tc>
          <w:tcPr>
            <w:tcW w:w="6934" w:type="dxa"/>
          </w:tcPr>
          <w:p w14:paraId="51014B05" w14:textId="75535226"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High Density Lipoproteins</w:t>
            </w:r>
          </w:p>
        </w:tc>
      </w:tr>
      <w:tr w:rsidR="00B92056" w:rsidRPr="008E37A0" w14:paraId="6270BBDC" w14:textId="77777777" w:rsidTr="00932151">
        <w:tc>
          <w:tcPr>
            <w:tcW w:w="2122" w:type="dxa"/>
          </w:tcPr>
          <w:p w14:paraId="793A9F2A"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HDP</w:t>
            </w:r>
          </w:p>
        </w:tc>
        <w:tc>
          <w:tcPr>
            <w:tcW w:w="6934" w:type="dxa"/>
          </w:tcPr>
          <w:p w14:paraId="58F8F8E1" w14:textId="588F4F3B"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rFonts w:cs="Times New Roman"/>
                <w:sz w:val="22"/>
                <w:szCs w:val="22"/>
                <w:lang w:val="en-GB"/>
              </w:rPr>
              <w:t>Health Development Programme</w:t>
            </w:r>
          </w:p>
        </w:tc>
      </w:tr>
      <w:tr w:rsidR="00B92056" w:rsidRPr="008E37A0" w14:paraId="20949CF8" w14:textId="77777777" w:rsidTr="00932151">
        <w:tc>
          <w:tcPr>
            <w:tcW w:w="2122" w:type="dxa"/>
          </w:tcPr>
          <w:p w14:paraId="19E3C4E2"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HF</w:t>
            </w:r>
          </w:p>
        </w:tc>
        <w:tc>
          <w:tcPr>
            <w:tcW w:w="6934" w:type="dxa"/>
          </w:tcPr>
          <w:p w14:paraId="5204E366" w14:textId="24D22637"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Health Financing</w:t>
            </w:r>
          </w:p>
        </w:tc>
      </w:tr>
      <w:tr w:rsidR="00B92056" w:rsidRPr="008E37A0" w14:paraId="2C46FD64" w14:textId="77777777" w:rsidTr="00932151">
        <w:tc>
          <w:tcPr>
            <w:tcW w:w="2122" w:type="dxa"/>
          </w:tcPr>
          <w:p w14:paraId="00569291"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HIV</w:t>
            </w:r>
          </w:p>
        </w:tc>
        <w:tc>
          <w:tcPr>
            <w:tcW w:w="6934" w:type="dxa"/>
          </w:tcPr>
          <w:p w14:paraId="14416832" w14:textId="0069886A"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sz w:val="22"/>
                <w:szCs w:val="22"/>
                <w:lang w:val="en-GB"/>
              </w:rPr>
            </w:pPr>
            <w:r w:rsidRPr="008E37A0">
              <w:rPr>
                <w:sz w:val="22"/>
                <w:szCs w:val="22"/>
                <w:lang w:val="en-GB"/>
              </w:rPr>
              <w:t>Human Immunodeficiency Virus</w:t>
            </w:r>
          </w:p>
        </w:tc>
      </w:tr>
      <w:tr w:rsidR="00B92056" w:rsidRPr="008E37A0" w14:paraId="56EA6E71" w14:textId="77777777" w:rsidTr="00932151">
        <w:tc>
          <w:tcPr>
            <w:tcW w:w="2122" w:type="dxa"/>
          </w:tcPr>
          <w:p w14:paraId="3A73A227"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HMIS</w:t>
            </w:r>
          </w:p>
        </w:tc>
        <w:tc>
          <w:tcPr>
            <w:tcW w:w="6934" w:type="dxa"/>
          </w:tcPr>
          <w:p w14:paraId="01208066" w14:textId="44E4F672"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Health Management Information System</w:t>
            </w:r>
          </w:p>
        </w:tc>
      </w:tr>
      <w:tr w:rsidR="00B92056" w:rsidRPr="008E37A0" w14:paraId="53D0D080" w14:textId="77777777" w:rsidTr="00932151">
        <w:tc>
          <w:tcPr>
            <w:tcW w:w="2122" w:type="dxa"/>
          </w:tcPr>
          <w:p w14:paraId="7A9BD764"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HSS</w:t>
            </w:r>
          </w:p>
        </w:tc>
        <w:tc>
          <w:tcPr>
            <w:tcW w:w="6934" w:type="dxa"/>
          </w:tcPr>
          <w:p w14:paraId="47A303AD" w14:textId="31DCF769"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Health Systems Strengthening</w:t>
            </w:r>
          </w:p>
        </w:tc>
      </w:tr>
      <w:tr w:rsidR="00B92056" w:rsidRPr="008E37A0" w14:paraId="5A0BEC59" w14:textId="77777777" w:rsidTr="00932151">
        <w:tc>
          <w:tcPr>
            <w:tcW w:w="2122" w:type="dxa"/>
          </w:tcPr>
          <w:p w14:paraId="0CDB9160"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IMF</w:t>
            </w:r>
          </w:p>
        </w:tc>
        <w:tc>
          <w:tcPr>
            <w:tcW w:w="6934" w:type="dxa"/>
          </w:tcPr>
          <w:p w14:paraId="5E64BF4E" w14:textId="478ED02B"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sz w:val="22"/>
                <w:szCs w:val="22"/>
                <w:lang w:val="en-GB"/>
              </w:rPr>
            </w:pPr>
            <w:r w:rsidRPr="008E37A0">
              <w:rPr>
                <w:sz w:val="22"/>
                <w:szCs w:val="22"/>
                <w:lang w:val="en-GB"/>
              </w:rPr>
              <w:t>International Monetary Fund</w:t>
            </w:r>
          </w:p>
        </w:tc>
      </w:tr>
      <w:tr w:rsidR="00B92056" w:rsidRPr="008E37A0" w14:paraId="5D83933F" w14:textId="77777777" w:rsidTr="00932151">
        <w:tc>
          <w:tcPr>
            <w:tcW w:w="2122" w:type="dxa"/>
          </w:tcPr>
          <w:p w14:paraId="16770A72"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LEPL</w:t>
            </w:r>
          </w:p>
        </w:tc>
        <w:tc>
          <w:tcPr>
            <w:tcW w:w="6934" w:type="dxa"/>
          </w:tcPr>
          <w:p w14:paraId="6FD87168" w14:textId="41E80555" w:rsidR="00B92056" w:rsidRPr="008E37A0" w:rsidRDefault="00073502"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Legal Entity of Public Law</w:t>
            </w:r>
          </w:p>
        </w:tc>
      </w:tr>
      <w:tr w:rsidR="00B92056" w:rsidRPr="008E37A0" w14:paraId="6074E9D4" w14:textId="77777777" w:rsidTr="00932151">
        <w:tc>
          <w:tcPr>
            <w:tcW w:w="2122" w:type="dxa"/>
          </w:tcPr>
          <w:p w14:paraId="1BB4CA74"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MCH</w:t>
            </w:r>
          </w:p>
        </w:tc>
        <w:tc>
          <w:tcPr>
            <w:tcW w:w="6934" w:type="dxa"/>
          </w:tcPr>
          <w:p w14:paraId="01C79392" w14:textId="3E9EC50E"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sz w:val="22"/>
                <w:szCs w:val="22"/>
                <w:lang w:val="en-GB"/>
              </w:rPr>
            </w:pPr>
            <w:r w:rsidRPr="008E37A0">
              <w:rPr>
                <w:sz w:val="22"/>
                <w:szCs w:val="22"/>
                <w:lang w:val="en-GB"/>
              </w:rPr>
              <w:t>Maternal and Child Health</w:t>
            </w:r>
          </w:p>
        </w:tc>
      </w:tr>
      <w:tr w:rsidR="00B92056" w:rsidRPr="008E37A0" w14:paraId="13D9CDA0" w14:textId="77777777" w:rsidTr="00932151">
        <w:tc>
          <w:tcPr>
            <w:tcW w:w="2122" w:type="dxa"/>
          </w:tcPr>
          <w:p w14:paraId="003B6727"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MFF</w:t>
            </w:r>
          </w:p>
        </w:tc>
        <w:tc>
          <w:tcPr>
            <w:tcW w:w="6934" w:type="dxa"/>
          </w:tcPr>
          <w:p w14:paraId="01F0F453" w14:textId="3CD83BF8"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Multiannual Financial Framework</w:t>
            </w:r>
          </w:p>
        </w:tc>
      </w:tr>
      <w:tr w:rsidR="00B92056" w:rsidRPr="008E37A0" w14:paraId="1E847B6D" w14:textId="77777777" w:rsidTr="00932151">
        <w:tc>
          <w:tcPr>
            <w:tcW w:w="2122" w:type="dxa"/>
          </w:tcPr>
          <w:p w14:paraId="25B24131"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MoF</w:t>
            </w:r>
          </w:p>
        </w:tc>
        <w:tc>
          <w:tcPr>
            <w:tcW w:w="6934" w:type="dxa"/>
          </w:tcPr>
          <w:p w14:paraId="427BB2BB" w14:textId="0B328FB9"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sz w:val="22"/>
                <w:szCs w:val="22"/>
                <w:lang w:val="en-GB"/>
              </w:rPr>
            </w:pPr>
            <w:r w:rsidRPr="008E37A0">
              <w:rPr>
                <w:sz w:val="22"/>
                <w:szCs w:val="22"/>
                <w:lang w:val="en-GB"/>
              </w:rPr>
              <w:t>Ministry of Finance</w:t>
            </w:r>
          </w:p>
        </w:tc>
      </w:tr>
      <w:tr w:rsidR="00B92056" w:rsidRPr="008E37A0" w14:paraId="61DF68B1" w14:textId="77777777" w:rsidTr="00932151">
        <w:tc>
          <w:tcPr>
            <w:tcW w:w="2122" w:type="dxa"/>
          </w:tcPr>
          <w:p w14:paraId="5B7FCB54"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MoIDPLHSA</w:t>
            </w:r>
          </w:p>
        </w:tc>
        <w:tc>
          <w:tcPr>
            <w:tcW w:w="6934" w:type="dxa"/>
          </w:tcPr>
          <w:p w14:paraId="50A84156" w14:textId="1A8D4DB8"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Ministry of Internally Displaced Persons from the Occupied Territories, Labour, Health and Social Affairs of Georgia</w:t>
            </w:r>
          </w:p>
        </w:tc>
      </w:tr>
      <w:tr w:rsidR="00B92056" w:rsidRPr="008E37A0" w14:paraId="7C5A7D8C" w14:textId="77777777" w:rsidTr="00932151">
        <w:tc>
          <w:tcPr>
            <w:tcW w:w="2122" w:type="dxa"/>
          </w:tcPr>
          <w:p w14:paraId="52C03015"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MS</w:t>
            </w:r>
          </w:p>
        </w:tc>
        <w:tc>
          <w:tcPr>
            <w:tcW w:w="6934" w:type="dxa"/>
          </w:tcPr>
          <w:p w14:paraId="3201710B" w14:textId="2A537EC5"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Member States</w:t>
            </w:r>
          </w:p>
        </w:tc>
      </w:tr>
      <w:tr w:rsidR="00B92056" w:rsidRPr="008E37A0" w14:paraId="7D910227" w14:textId="77777777" w:rsidTr="00932151">
        <w:tc>
          <w:tcPr>
            <w:tcW w:w="2122" w:type="dxa"/>
          </w:tcPr>
          <w:p w14:paraId="368F59CC"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NCD</w:t>
            </w:r>
          </w:p>
        </w:tc>
        <w:tc>
          <w:tcPr>
            <w:tcW w:w="6934" w:type="dxa"/>
          </w:tcPr>
          <w:p w14:paraId="3474BD5A" w14:textId="647559AF"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sz w:val="22"/>
                <w:szCs w:val="22"/>
                <w:lang w:val="en-GB"/>
              </w:rPr>
            </w:pPr>
            <w:r w:rsidRPr="008E37A0">
              <w:rPr>
                <w:sz w:val="22"/>
                <w:szCs w:val="22"/>
                <w:lang w:val="en-GB"/>
              </w:rPr>
              <w:t>Non-Communicable Diseases</w:t>
            </w:r>
          </w:p>
        </w:tc>
      </w:tr>
      <w:tr w:rsidR="00B92056" w:rsidRPr="008E37A0" w14:paraId="0F02183F" w14:textId="77777777" w:rsidTr="00932151">
        <w:tc>
          <w:tcPr>
            <w:tcW w:w="2122" w:type="dxa"/>
          </w:tcPr>
          <w:p w14:paraId="3F0C97EA"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NCDC</w:t>
            </w:r>
          </w:p>
        </w:tc>
        <w:tc>
          <w:tcPr>
            <w:tcW w:w="6934" w:type="dxa"/>
          </w:tcPr>
          <w:p w14:paraId="612CCEB0" w14:textId="56292EAB"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National Centre for Disease Control and Public Health</w:t>
            </w:r>
          </w:p>
        </w:tc>
      </w:tr>
      <w:tr w:rsidR="00B92056" w:rsidRPr="008E37A0" w14:paraId="073F6967" w14:textId="77777777" w:rsidTr="00932151">
        <w:tc>
          <w:tcPr>
            <w:tcW w:w="2122" w:type="dxa"/>
          </w:tcPr>
          <w:p w14:paraId="5E68E859"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NGO</w:t>
            </w:r>
          </w:p>
        </w:tc>
        <w:tc>
          <w:tcPr>
            <w:tcW w:w="6934" w:type="dxa"/>
          </w:tcPr>
          <w:p w14:paraId="79A698C3" w14:textId="4EEF5304"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Non-Governmental Organization</w:t>
            </w:r>
          </w:p>
        </w:tc>
      </w:tr>
      <w:tr w:rsidR="00B92056" w:rsidRPr="008E37A0" w14:paraId="58AA7E06" w14:textId="77777777" w:rsidTr="00932151">
        <w:tc>
          <w:tcPr>
            <w:tcW w:w="2122" w:type="dxa"/>
          </w:tcPr>
          <w:p w14:paraId="26BB51F0"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NHS</w:t>
            </w:r>
          </w:p>
        </w:tc>
        <w:tc>
          <w:tcPr>
            <w:tcW w:w="6934" w:type="dxa"/>
          </w:tcPr>
          <w:p w14:paraId="7B431C88" w14:textId="361DF8F4"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National Health Strategy</w:t>
            </w:r>
          </w:p>
        </w:tc>
      </w:tr>
      <w:tr w:rsidR="00B92056" w:rsidRPr="008E37A0" w14:paraId="17FD1F5D" w14:textId="77777777" w:rsidTr="00932151">
        <w:tc>
          <w:tcPr>
            <w:tcW w:w="2122" w:type="dxa"/>
          </w:tcPr>
          <w:p w14:paraId="1FB18652"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OOP</w:t>
            </w:r>
          </w:p>
        </w:tc>
        <w:tc>
          <w:tcPr>
            <w:tcW w:w="6934" w:type="dxa"/>
          </w:tcPr>
          <w:p w14:paraId="787ABEF8" w14:textId="503D49F6"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Of-Pocket Payment</w:t>
            </w:r>
          </w:p>
        </w:tc>
      </w:tr>
      <w:tr w:rsidR="00B92056" w:rsidRPr="008E37A0" w14:paraId="7F662925" w14:textId="77777777" w:rsidTr="00932151">
        <w:tc>
          <w:tcPr>
            <w:tcW w:w="2122" w:type="dxa"/>
          </w:tcPr>
          <w:p w14:paraId="64A90295"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PAR</w:t>
            </w:r>
          </w:p>
        </w:tc>
        <w:tc>
          <w:tcPr>
            <w:tcW w:w="6934" w:type="dxa"/>
          </w:tcPr>
          <w:p w14:paraId="42D4F920" w14:textId="310F0A91"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Public Administration Reform</w:t>
            </w:r>
          </w:p>
        </w:tc>
      </w:tr>
      <w:tr w:rsidR="00B92056" w:rsidRPr="008E37A0" w14:paraId="0260DF69" w14:textId="77777777" w:rsidTr="00932151">
        <w:tc>
          <w:tcPr>
            <w:tcW w:w="2122" w:type="dxa"/>
          </w:tcPr>
          <w:p w14:paraId="0D457F8F"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PHC</w:t>
            </w:r>
          </w:p>
        </w:tc>
        <w:tc>
          <w:tcPr>
            <w:tcW w:w="6934" w:type="dxa"/>
          </w:tcPr>
          <w:p w14:paraId="3E3B4207" w14:textId="29F06D93"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Primary Health Care</w:t>
            </w:r>
          </w:p>
        </w:tc>
      </w:tr>
      <w:tr w:rsidR="00B92056" w:rsidRPr="008E37A0" w14:paraId="6F4431E1" w14:textId="77777777" w:rsidTr="00932151">
        <w:tc>
          <w:tcPr>
            <w:tcW w:w="2122" w:type="dxa"/>
          </w:tcPr>
          <w:p w14:paraId="596782F4"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SDG</w:t>
            </w:r>
          </w:p>
        </w:tc>
        <w:tc>
          <w:tcPr>
            <w:tcW w:w="6934" w:type="dxa"/>
          </w:tcPr>
          <w:p w14:paraId="7317B33D" w14:textId="2EAFD4AA"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sz w:val="22"/>
                <w:szCs w:val="22"/>
                <w:lang w:val="en-GB"/>
              </w:rPr>
            </w:pPr>
            <w:r w:rsidRPr="008E37A0">
              <w:rPr>
                <w:sz w:val="22"/>
                <w:szCs w:val="22"/>
                <w:lang w:val="en-GB"/>
              </w:rPr>
              <w:t>Sustainable Development Goal</w:t>
            </w:r>
          </w:p>
        </w:tc>
      </w:tr>
      <w:tr w:rsidR="00B92056" w:rsidRPr="008E37A0" w14:paraId="5988B1B5" w14:textId="77777777" w:rsidTr="00932151">
        <w:tc>
          <w:tcPr>
            <w:tcW w:w="2122" w:type="dxa"/>
          </w:tcPr>
          <w:p w14:paraId="263A755B"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SO</w:t>
            </w:r>
          </w:p>
        </w:tc>
        <w:tc>
          <w:tcPr>
            <w:tcW w:w="6934" w:type="dxa"/>
          </w:tcPr>
          <w:p w14:paraId="2BB4FE33" w14:textId="36A6E465"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Specific Objective</w:t>
            </w:r>
          </w:p>
        </w:tc>
      </w:tr>
      <w:tr w:rsidR="00B92056" w:rsidRPr="008E37A0" w14:paraId="7B827EF2" w14:textId="77777777" w:rsidTr="00932151">
        <w:tc>
          <w:tcPr>
            <w:tcW w:w="2122" w:type="dxa"/>
          </w:tcPr>
          <w:p w14:paraId="6C165C05"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SSA</w:t>
            </w:r>
          </w:p>
        </w:tc>
        <w:tc>
          <w:tcPr>
            <w:tcW w:w="6934" w:type="dxa"/>
          </w:tcPr>
          <w:p w14:paraId="30D521E8" w14:textId="5ECB49C5"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Social Service Agency</w:t>
            </w:r>
          </w:p>
        </w:tc>
      </w:tr>
      <w:tr w:rsidR="00B92056" w:rsidRPr="008E37A0" w14:paraId="3F676EB5" w14:textId="77777777" w:rsidTr="00932151">
        <w:tc>
          <w:tcPr>
            <w:tcW w:w="2122" w:type="dxa"/>
          </w:tcPr>
          <w:p w14:paraId="584CF68F"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STEPS</w:t>
            </w:r>
          </w:p>
        </w:tc>
        <w:tc>
          <w:tcPr>
            <w:tcW w:w="6934" w:type="dxa"/>
          </w:tcPr>
          <w:p w14:paraId="1B9BB47A" w14:textId="5A7153CE"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WHO STEPwise Approach to Non-Communicable Diseases Risk Factors Surveillance</w:t>
            </w:r>
          </w:p>
        </w:tc>
      </w:tr>
      <w:tr w:rsidR="00B92056" w:rsidRPr="008E37A0" w14:paraId="6B7FD2EF" w14:textId="77777777" w:rsidTr="00932151">
        <w:tc>
          <w:tcPr>
            <w:tcW w:w="2122" w:type="dxa"/>
          </w:tcPr>
          <w:p w14:paraId="7E0EED0B"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TB</w:t>
            </w:r>
          </w:p>
        </w:tc>
        <w:tc>
          <w:tcPr>
            <w:tcW w:w="6934" w:type="dxa"/>
          </w:tcPr>
          <w:p w14:paraId="1DA8B04A" w14:textId="5B7A3921"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Tuberculosis</w:t>
            </w:r>
          </w:p>
        </w:tc>
      </w:tr>
      <w:tr w:rsidR="00B92056" w:rsidRPr="008E37A0" w14:paraId="5CE441A5" w14:textId="77777777" w:rsidTr="00932151">
        <w:tc>
          <w:tcPr>
            <w:tcW w:w="2122" w:type="dxa"/>
          </w:tcPr>
          <w:p w14:paraId="21CC02AD"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THE</w:t>
            </w:r>
          </w:p>
        </w:tc>
        <w:tc>
          <w:tcPr>
            <w:tcW w:w="6934" w:type="dxa"/>
          </w:tcPr>
          <w:p w14:paraId="2A8F7766" w14:textId="525FA0D1"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Total Health Expenditures</w:t>
            </w:r>
          </w:p>
        </w:tc>
      </w:tr>
      <w:tr w:rsidR="00B92056" w:rsidRPr="008E37A0" w14:paraId="545ADCA1" w14:textId="77777777" w:rsidTr="00932151">
        <w:tc>
          <w:tcPr>
            <w:tcW w:w="2122" w:type="dxa"/>
          </w:tcPr>
          <w:p w14:paraId="3BB73C9F"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UHC</w:t>
            </w:r>
          </w:p>
        </w:tc>
        <w:tc>
          <w:tcPr>
            <w:tcW w:w="6934" w:type="dxa"/>
          </w:tcPr>
          <w:p w14:paraId="7F9D65E4" w14:textId="7F2BD49D"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Universal Health Coverage</w:t>
            </w:r>
          </w:p>
        </w:tc>
      </w:tr>
      <w:tr w:rsidR="00B92056" w:rsidRPr="008E37A0" w14:paraId="3B1AB345" w14:textId="77777777" w:rsidTr="00932151">
        <w:tc>
          <w:tcPr>
            <w:tcW w:w="2122" w:type="dxa"/>
          </w:tcPr>
          <w:p w14:paraId="3CCEEF9E"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UNGA</w:t>
            </w:r>
          </w:p>
        </w:tc>
        <w:tc>
          <w:tcPr>
            <w:tcW w:w="6934" w:type="dxa"/>
          </w:tcPr>
          <w:p w14:paraId="69CB6626" w14:textId="36F35902"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United Nations General Assembly</w:t>
            </w:r>
          </w:p>
        </w:tc>
      </w:tr>
      <w:tr w:rsidR="00B92056" w:rsidRPr="008E37A0" w14:paraId="0CAD492C" w14:textId="77777777" w:rsidTr="00932151">
        <w:tc>
          <w:tcPr>
            <w:tcW w:w="2122" w:type="dxa"/>
          </w:tcPr>
          <w:p w14:paraId="0A5C3463"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USAID</w:t>
            </w:r>
          </w:p>
        </w:tc>
        <w:tc>
          <w:tcPr>
            <w:tcW w:w="6934" w:type="dxa"/>
          </w:tcPr>
          <w:p w14:paraId="0E527709" w14:textId="27073590"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sz w:val="22"/>
                <w:szCs w:val="22"/>
                <w:lang w:val="en-GB"/>
              </w:rPr>
              <w:t>US Agency for International Development</w:t>
            </w:r>
          </w:p>
        </w:tc>
      </w:tr>
      <w:tr w:rsidR="00B92056" w:rsidRPr="008E37A0" w14:paraId="4AB3CE2F" w14:textId="77777777" w:rsidTr="00932151">
        <w:tc>
          <w:tcPr>
            <w:tcW w:w="2122" w:type="dxa"/>
          </w:tcPr>
          <w:p w14:paraId="6EDCD999" w14:textId="77777777" w:rsidR="00B92056" w:rsidRPr="008E37A0" w:rsidRDefault="00B92056"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WHO</w:t>
            </w:r>
          </w:p>
        </w:tc>
        <w:tc>
          <w:tcPr>
            <w:tcW w:w="6934" w:type="dxa"/>
          </w:tcPr>
          <w:p w14:paraId="2994C0C3" w14:textId="19F2CC29" w:rsidR="00B92056" w:rsidRPr="008E37A0" w:rsidRDefault="002C00E1" w:rsidP="00932151">
            <w:pPr>
              <w:pStyle w:val="Text2"/>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bCs/>
                <w:sz w:val="22"/>
                <w:szCs w:val="22"/>
                <w:lang w:val="en-GB"/>
              </w:rPr>
            </w:pPr>
            <w:r w:rsidRPr="008E37A0">
              <w:rPr>
                <w:bCs/>
                <w:sz w:val="22"/>
                <w:szCs w:val="22"/>
                <w:lang w:val="en-GB"/>
              </w:rPr>
              <w:t>World Health Organization</w:t>
            </w:r>
          </w:p>
        </w:tc>
      </w:tr>
    </w:tbl>
    <w:p w14:paraId="015ED37D" w14:textId="1B37AE88" w:rsidR="00932151" w:rsidRPr="008E37A0" w:rsidRDefault="00932151" w:rsidP="00B92056">
      <w:pPr>
        <w:pStyle w:val="Text2"/>
        <w:spacing w:before="0" w:after="0"/>
        <w:ind w:left="0"/>
        <w:rPr>
          <w:bCs/>
          <w:sz w:val="22"/>
          <w:szCs w:val="22"/>
          <w:lang w:val="en-GB"/>
        </w:rPr>
      </w:pPr>
    </w:p>
    <w:p w14:paraId="422F536D" w14:textId="77777777" w:rsidR="00B92056" w:rsidRPr="008E37A0" w:rsidRDefault="00B92056" w:rsidP="00B92056">
      <w:pPr>
        <w:pStyle w:val="Text2"/>
        <w:spacing w:before="0" w:after="0"/>
        <w:ind w:left="0"/>
        <w:rPr>
          <w:bCs/>
          <w:sz w:val="22"/>
          <w:szCs w:val="22"/>
          <w:lang w:val="en-GB"/>
        </w:rPr>
      </w:pPr>
    </w:p>
    <w:sectPr w:rsidR="00B92056" w:rsidRPr="008E37A0" w:rsidSect="00212975">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371AE" w14:textId="77777777" w:rsidR="00C37BC1" w:rsidRDefault="00C37BC1">
      <w:r>
        <w:separator/>
      </w:r>
    </w:p>
  </w:endnote>
  <w:endnote w:type="continuationSeparator" w:id="0">
    <w:p w14:paraId="3D31A0CC" w14:textId="77777777" w:rsidR="00C37BC1" w:rsidRDefault="00C37BC1">
      <w:r>
        <w:continuationSeparator/>
      </w:r>
    </w:p>
  </w:endnote>
  <w:endnote w:type="continuationNotice" w:id="1">
    <w:p w14:paraId="7B3797B6" w14:textId="77777777" w:rsidR="00C37BC1" w:rsidRDefault="00C37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Myriad Pro Light SemiCond">
    <w:altName w:val="Segoe UI Light"/>
    <w:charset w:val="00"/>
    <w:family w:val="swiss"/>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369A7" w14:textId="77777777" w:rsidR="006B6FC9" w:rsidRDefault="006B6FC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445CF" w14:textId="4815A979" w:rsidR="006B6FC9" w:rsidRDefault="006B6FC9">
    <w:pPr>
      <w:pStyle w:val="llb"/>
      <w:tabs>
        <w:tab w:val="clear" w:pos="9071"/>
        <w:tab w:val="clear" w:pos="9921"/>
        <w:tab w:val="center" w:pos="4645"/>
        <w:tab w:val="left" w:pos="7965"/>
        <w:tab w:val="right" w:pos="9046"/>
        <w:tab w:val="right" w:pos="9046"/>
      </w:tabs>
      <w:rPr>
        <w:sz w:val="20"/>
        <w:szCs w:val="20"/>
      </w:rPr>
    </w:pPr>
    <w:r>
      <w:tab/>
    </w:r>
    <w:r>
      <w:rPr>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noProof/>
        <w:sz w:val="20"/>
        <w:szCs w:val="20"/>
      </w:rPr>
      <w:t>19</w:t>
    </w:r>
    <w:r>
      <w:rPr>
        <w:sz w:val="20"/>
        <w:szCs w:val="20"/>
      </w:rPr>
      <w:fldChar w:fldCharType="end"/>
    </w:r>
    <w:r>
      <w:rPr>
        <w:sz w:val="20"/>
        <w:szCs w:val="20"/>
      </w:rPr>
      <w:t>]</w:t>
    </w:r>
    <w:r>
      <w:rPr>
        <w:sz w:val="20"/>
        <w:szCs w:val="20"/>
      </w:rPr>
      <w:tab/>
    </w:r>
  </w:p>
  <w:p w14:paraId="2986F00A" w14:textId="48E31664" w:rsidR="006B6FC9" w:rsidRDefault="006B6FC9">
    <w:pPr>
      <w:pStyle w:val="llb"/>
      <w:tabs>
        <w:tab w:val="clear" w:pos="9071"/>
        <w:tab w:val="clear" w:pos="9921"/>
        <w:tab w:val="right" w:pos="9046"/>
        <w:tab w:val="right" w:pos="9046"/>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8C60" w14:textId="77777777" w:rsidR="006B6FC9" w:rsidRDefault="006B6FC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3296D" w14:textId="77777777" w:rsidR="00C37BC1" w:rsidRDefault="00C37BC1">
      <w:r>
        <w:separator/>
      </w:r>
    </w:p>
  </w:footnote>
  <w:footnote w:type="continuationSeparator" w:id="0">
    <w:p w14:paraId="299C43FB" w14:textId="77777777" w:rsidR="00C37BC1" w:rsidRDefault="00C37BC1">
      <w:r>
        <w:continuationSeparator/>
      </w:r>
    </w:p>
  </w:footnote>
  <w:footnote w:type="continuationNotice" w:id="1">
    <w:p w14:paraId="7AE20B26" w14:textId="77777777" w:rsidR="00C37BC1" w:rsidRDefault="00C37BC1"/>
  </w:footnote>
  <w:footnote w:id="2">
    <w:p w14:paraId="5C83AFAF" w14:textId="77777777" w:rsidR="006B6FC9" w:rsidRPr="00F13A7F" w:rsidRDefault="006B6FC9" w:rsidP="00071BE0">
      <w:pPr>
        <w:pStyle w:val="Lbjegyzetszveg"/>
        <w:rPr>
          <w:lang w:val="en-GB"/>
        </w:rPr>
      </w:pPr>
      <w:r>
        <w:rPr>
          <w:rStyle w:val="Lbjegyzet-hivatkozs"/>
        </w:rPr>
        <w:footnoteRef/>
      </w:r>
      <w:r>
        <w:t xml:space="preserve"> Regulation No. 36 of </w:t>
      </w:r>
      <w:r w:rsidRPr="00F13A7F">
        <w:rPr>
          <w:lang w:val="en-GB"/>
        </w:rPr>
        <w:t>Government of Georgia</w:t>
      </w:r>
      <w:r>
        <w:rPr>
          <w:lang w:val="en-GB"/>
        </w:rPr>
        <w:t xml:space="preserve"> of 21 </w:t>
      </w:r>
      <w:r w:rsidRPr="00F13A7F">
        <w:rPr>
          <w:lang w:val="en-GB"/>
        </w:rPr>
        <w:t>February 2013</w:t>
      </w:r>
      <w:r>
        <w:rPr>
          <w:lang w:val="en-GB"/>
        </w:rPr>
        <w:t xml:space="preserve"> on t</w:t>
      </w:r>
      <w:r w:rsidRPr="00F13A7F">
        <w:rPr>
          <w:lang w:val="en-GB"/>
        </w:rPr>
        <w:t>he measures to be taken to transition to universal health care</w:t>
      </w:r>
    </w:p>
  </w:footnote>
  <w:footnote w:id="3">
    <w:p w14:paraId="09418340" w14:textId="3591E80E" w:rsidR="006B6FC9" w:rsidRPr="00FE16A8" w:rsidRDefault="006B6FC9" w:rsidP="00FE16A8">
      <w:pPr>
        <w:pStyle w:val="Lbjegyzetszveg"/>
      </w:pPr>
      <w:r>
        <w:rPr>
          <w:rStyle w:val="Lbjegyzet-hivatkozs"/>
        </w:rPr>
        <w:footnoteRef/>
      </w:r>
      <w:r>
        <w:t xml:space="preserve"> </w:t>
      </w:r>
      <w:r w:rsidRPr="00FE16A8">
        <w:rPr>
          <w:lang w:val="en-GB"/>
        </w:rPr>
        <w:t>In 2018, countries have integrated SDGs into their programs and have achieved progress in the framework of "Health 2020" policy. Georgia shares SDGs</w:t>
      </w:r>
      <w:r>
        <w:rPr>
          <w:lang w:val="en-GB"/>
        </w:rPr>
        <w:t>,</w:t>
      </w:r>
      <w:r w:rsidRPr="00FE16A8">
        <w:rPr>
          <w:lang w:val="en-GB"/>
        </w:rPr>
        <w:t xml:space="preserve"> "Health 2020" and prevention and control of noncommunicable diseases global initiatives and is actively involved in monitoring the progress of the achievement of the abovementioned goals. A global SDG index was developed to measure a progress toward the SDGs. According to this index, Georgia ranks 73rd out of 162 countries</w:t>
      </w:r>
      <w:r>
        <w:rPr>
          <w:lang w:val="en-GB"/>
        </w:rPr>
        <w:t>. (</w:t>
      </w:r>
      <w:hyperlink r:id="rId1" w:anchor="/GEO" w:history="1">
        <w:r w:rsidRPr="00FE16A8">
          <w:rPr>
            <w:rStyle w:val="Hiperhivatkozs"/>
          </w:rPr>
          <w:t>https://dashboards.sdgindex.org/#/GEO</w:t>
        </w:r>
      </w:hyperlink>
      <w:r>
        <w:rPr>
          <w:lang w:val="en-GB"/>
        </w:rPr>
        <w:t>)</w:t>
      </w:r>
    </w:p>
  </w:footnote>
  <w:footnote w:id="4">
    <w:p w14:paraId="3F49EBCB" w14:textId="77777777" w:rsidR="006B6FC9" w:rsidRPr="00922BF1" w:rsidRDefault="006B6FC9" w:rsidP="00071BE0">
      <w:pPr>
        <w:pStyle w:val="Lbjegyzetszveg"/>
      </w:pPr>
      <w:r w:rsidRPr="00922BF1">
        <w:rPr>
          <w:rStyle w:val="Lbjegyzet-hivatkozs"/>
        </w:rPr>
        <w:footnoteRef/>
      </w:r>
      <w:r w:rsidRPr="00922BF1">
        <w:t xml:space="preserve"> UHC Partnership, </w:t>
      </w:r>
      <w:hyperlink r:id="rId2" w:history="1">
        <w:r w:rsidRPr="00922BF1">
          <w:rPr>
            <w:rStyle w:val="Hiperhivatkozs"/>
          </w:rPr>
          <w:t>https://www.uhcpartnership.net/wp-content/uploads/2019/04/JWT-Georgia-story-from-the-field-web-final-April-2019.pdf</w:t>
        </w:r>
      </w:hyperlink>
      <w:r w:rsidRPr="00922BF1">
        <w:t xml:space="preserve"> </w:t>
      </w:r>
    </w:p>
  </w:footnote>
  <w:footnote w:id="5">
    <w:p w14:paraId="22D27241" w14:textId="7D1DDAAA" w:rsidR="006B6FC9" w:rsidRPr="00922BF1" w:rsidRDefault="006B6FC9">
      <w:pPr>
        <w:pStyle w:val="Lbjegyzetszveg"/>
      </w:pPr>
      <w:r w:rsidRPr="00922BF1">
        <w:rPr>
          <w:rStyle w:val="Lbjegyzet-hivatkozs"/>
        </w:rPr>
        <w:footnoteRef/>
      </w:r>
      <w:r w:rsidRPr="00922BF1">
        <w:t xml:space="preserve"> </w:t>
      </w:r>
      <w:r w:rsidRPr="00922BF1">
        <w:rPr>
          <w:rFonts w:eastAsia="Arial Unicode MS"/>
        </w:rPr>
        <w:t>The EU Role in Global Health - Communication from the Commission to the Council, the European Parliament, the European Economic and Social Committee and the Committee of the Regions (2010).</w:t>
      </w:r>
      <w:r w:rsidRPr="00922BF1">
        <w:t xml:space="preserve"> </w:t>
      </w:r>
    </w:p>
  </w:footnote>
  <w:footnote w:id="6">
    <w:p w14:paraId="23FF8C9D" w14:textId="1E6794E8" w:rsidR="006B6FC9" w:rsidRPr="00922BF1" w:rsidRDefault="006B6FC9">
      <w:pPr>
        <w:pStyle w:val="Lbjegyzetszveg"/>
      </w:pPr>
      <w:r w:rsidRPr="00922BF1">
        <w:rPr>
          <w:rStyle w:val="Lbjegyzet-hivatkozs"/>
        </w:rPr>
        <w:footnoteRef/>
      </w:r>
      <w:r w:rsidRPr="00922BF1">
        <w:t xml:space="preserve"> </w:t>
      </w:r>
      <w:r w:rsidRPr="00922BF1">
        <w:rPr>
          <w:rFonts w:eastAsia="Arial Unicode MS"/>
        </w:rPr>
        <w:t>The New European Consensus on Development 'Our World, Our Dignity, Our Future' (2017).</w:t>
      </w:r>
    </w:p>
  </w:footnote>
  <w:footnote w:id="7">
    <w:p w14:paraId="20AA4463" w14:textId="4CBD9F9B" w:rsidR="006B6FC9" w:rsidRPr="008E7096" w:rsidRDefault="006B6FC9">
      <w:pPr>
        <w:pStyle w:val="Lbjegyzetszveg"/>
      </w:pPr>
      <w:r w:rsidRPr="00922BF1">
        <w:rPr>
          <w:rStyle w:val="Lbjegyzet-hivatkozs"/>
        </w:rPr>
        <w:footnoteRef/>
      </w:r>
      <w:r w:rsidRPr="00922BF1">
        <w:t xml:space="preserve"> National Statistics Office of Georgia, Demographic Situation in Georgia 2018, Statistical Publication, Tbilisi, 2019</w:t>
      </w:r>
    </w:p>
  </w:footnote>
  <w:footnote w:id="8">
    <w:p w14:paraId="30034D26" w14:textId="77777777" w:rsidR="006B6FC9" w:rsidRPr="00F0061B" w:rsidRDefault="006B6FC9" w:rsidP="0049573F">
      <w:pPr>
        <w:pStyle w:val="Lbjegyzetszveg"/>
      </w:pPr>
      <w:r>
        <w:rPr>
          <w:rStyle w:val="Lbjegyzet-hivatkozs"/>
        </w:rPr>
        <w:footnoteRef/>
      </w:r>
      <w:r>
        <w:t xml:space="preserve"> </w:t>
      </w:r>
      <w:r w:rsidRPr="00F0061B">
        <w:rPr>
          <w:lang w:val="en-GB"/>
        </w:rPr>
        <w:t xml:space="preserve">Ministry </w:t>
      </w:r>
      <w:r>
        <w:rPr>
          <w:lang w:val="en-GB"/>
        </w:rPr>
        <w:t>o</w:t>
      </w:r>
      <w:r w:rsidRPr="00F0061B">
        <w:rPr>
          <w:lang w:val="en-GB"/>
        </w:rPr>
        <w:t xml:space="preserve">f Internally Displaced Persons </w:t>
      </w:r>
      <w:r>
        <w:rPr>
          <w:lang w:val="en-GB"/>
        </w:rPr>
        <w:t>f</w:t>
      </w:r>
      <w:r w:rsidRPr="00F0061B">
        <w:rPr>
          <w:lang w:val="en-GB"/>
        </w:rPr>
        <w:t xml:space="preserve">rom </w:t>
      </w:r>
      <w:r>
        <w:rPr>
          <w:lang w:val="en-GB"/>
        </w:rPr>
        <w:t>t</w:t>
      </w:r>
      <w:r w:rsidRPr="00F0061B">
        <w:rPr>
          <w:lang w:val="en-GB"/>
        </w:rPr>
        <w:t xml:space="preserve">he Occupied Territories, Labour, Health </w:t>
      </w:r>
      <w:r>
        <w:rPr>
          <w:lang w:val="en-GB"/>
        </w:rPr>
        <w:t>a</w:t>
      </w:r>
      <w:r w:rsidRPr="00F0061B">
        <w:rPr>
          <w:lang w:val="en-GB"/>
        </w:rPr>
        <w:t xml:space="preserve">nd Social Affairs </w:t>
      </w:r>
      <w:r>
        <w:rPr>
          <w:lang w:val="en-GB"/>
        </w:rPr>
        <w:t>o</w:t>
      </w:r>
      <w:r w:rsidRPr="00F0061B">
        <w:rPr>
          <w:lang w:val="en-GB"/>
        </w:rPr>
        <w:t>f Georgia</w:t>
      </w:r>
      <w:r>
        <w:rPr>
          <w:lang w:val="en-GB"/>
        </w:rPr>
        <w:t xml:space="preserve">, </w:t>
      </w:r>
      <w:r w:rsidRPr="00F0061B">
        <w:rPr>
          <w:lang w:val="en-GB"/>
        </w:rPr>
        <w:t xml:space="preserve">National Centre </w:t>
      </w:r>
      <w:r>
        <w:rPr>
          <w:lang w:val="en-GB"/>
        </w:rPr>
        <w:t>f</w:t>
      </w:r>
      <w:r w:rsidRPr="00F0061B">
        <w:rPr>
          <w:lang w:val="en-GB"/>
        </w:rPr>
        <w:t xml:space="preserve">or Disease Control </w:t>
      </w:r>
      <w:r>
        <w:rPr>
          <w:lang w:val="en-GB"/>
        </w:rPr>
        <w:t>a</w:t>
      </w:r>
      <w:r w:rsidRPr="00F0061B">
        <w:rPr>
          <w:lang w:val="en-GB"/>
        </w:rPr>
        <w:t>nd Public Health</w:t>
      </w:r>
      <w:r>
        <w:rPr>
          <w:lang w:val="en-GB"/>
        </w:rPr>
        <w:t xml:space="preserve">, </w:t>
      </w:r>
      <w:r w:rsidRPr="00F0061B">
        <w:rPr>
          <w:lang w:val="en-GB"/>
        </w:rPr>
        <w:t>Health Care</w:t>
      </w:r>
      <w:r>
        <w:rPr>
          <w:lang w:val="en-GB"/>
        </w:rPr>
        <w:t xml:space="preserve"> </w:t>
      </w:r>
      <w:r w:rsidRPr="00F0061B">
        <w:rPr>
          <w:lang w:val="en-GB"/>
        </w:rPr>
        <w:t>Statistical Yearbook</w:t>
      </w:r>
      <w:r>
        <w:rPr>
          <w:lang w:val="en-GB"/>
        </w:rPr>
        <w:t xml:space="preserve"> </w:t>
      </w:r>
      <w:r w:rsidRPr="00F0061B">
        <w:rPr>
          <w:lang w:val="en-GB"/>
        </w:rPr>
        <w:t>2018</w:t>
      </w:r>
      <w:r>
        <w:rPr>
          <w:lang w:val="en-GB"/>
        </w:rPr>
        <w:t xml:space="preserve"> </w:t>
      </w:r>
      <w:r w:rsidRPr="00F0061B">
        <w:rPr>
          <w:lang w:val="en-GB"/>
        </w:rPr>
        <w:t>Georgia</w:t>
      </w:r>
      <w:r>
        <w:rPr>
          <w:lang w:val="en-GB"/>
        </w:rPr>
        <w:t xml:space="preserve">, </w:t>
      </w:r>
      <w:r w:rsidRPr="00F0061B">
        <w:rPr>
          <w:lang w:val="en-GB"/>
        </w:rPr>
        <w:t>Tbilisi</w:t>
      </w:r>
      <w:r>
        <w:rPr>
          <w:lang w:val="en-GB"/>
        </w:rPr>
        <w:t xml:space="preserve">, </w:t>
      </w:r>
      <w:r w:rsidRPr="00F0061B">
        <w:rPr>
          <w:lang w:val="en-GB"/>
        </w:rPr>
        <w:t>2019</w:t>
      </w:r>
    </w:p>
  </w:footnote>
  <w:footnote w:id="9">
    <w:p w14:paraId="290ACB35" w14:textId="77777777" w:rsidR="006B6FC9" w:rsidRPr="00AF579F" w:rsidRDefault="006B6FC9" w:rsidP="00392044">
      <w:pPr>
        <w:pStyle w:val="Lbjegyzetszveg"/>
      </w:pPr>
      <w:r>
        <w:rPr>
          <w:rStyle w:val="Lbjegyzet-hivatkozs"/>
        </w:rPr>
        <w:footnoteRef/>
      </w:r>
      <w:r>
        <w:t xml:space="preserve"> </w:t>
      </w:r>
      <w:hyperlink r:id="rId3" w:history="1">
        <w:r w:rsidRPr="00AF579F">
          <w:rPr>
            <w:rStyle w:val="Hiperhivatkozs"/>
          </w:rPr>
          <w:t>https://agenda.ge/en/news/2019/2552</w:t>
        </w:r>
      </w:hyperlink>
      <w:r>
        <w:t xml:space="preserve"> </w:t>
      </w:r>
    </w:p>
  </w:footnote>
  <w:footnote w:id="10">
    <w:p w14:paraId="07F32E91" w14:textId="051ACCEF" w:rsidR="006B6FC9" w:rsidRPr="007A7BE8" w:rsidRDefault="006B6FC9" w:rsidP="007A7BE8">
      <w:pPr>
        <w:pStyle w:val="Lbjegyzetszveg"/>
        <w:rPr>
          <w:lang w:val="en-GB"/>
        </w:rPr>
      </w:pPr>
      <w:r>
        <w:rPr>
          <w:rStyle w:val="Lbjegyzet-hivatkozs"/>
        </w:rPr>
        <w:footnoteRef/>
      </w:r>
      <w:r>
        <w:t xml:space="preserve"> </w:t>
      </w:r>
      <w:r w:rsidRPr="009E267E">
        <w:rPr>
          <w:lang w:val="en-GB"/>
        </w:rPr>
        <w:t xml:space="preserve">State </w:t>
      </w:r>
      <w:r>
        <w:rPr>
          <w:lang w:val="en-GB"/>
        </w:rPr>
        <w:t>p</w:t>
      </w:r>
      <w:r w:rsidRPr="009E267E">
        <w:rPr>
          <w:lang w:val="en-GB"/>
        </w:rPr>
        <w:t>rogram</w:t>
      </w:r>
      <w:r>
        <w:rPr>
          <w:lang w:val="en-GB"/>
        </w:rPr>
        <w:t>mes</w:t>
      </w:r>
      <w:r w:rsidRPr="009E267E">
        <w:rPr>
          <w:lang w:val="en-GB"/>
        </w:rPr>
        <w:t xml:space="preserve"> on </w:t>
      </w:r>
      <w:r>
        <w:rPr>
          <w:lang w:val="en-GB"/>
        </w:rPr>
        <w:t>d</w:t>
      </w:r>
      <w:r w:rsidRPr="009E267E">
        <w:rPr>
          <w:lang w:val="en-GB"/>
        </w:rPr>
        <w:t xml:space="preserve">isease </w:t>
      </w:r>
      <w:r>
        <w:rPr>
          <w:lang w:val="en-GB"/>
        </w:rPr>
        <w:t>e</w:t>
      </w:r>
      <w:r w:rsidRPr="009E267E">
        <w:rPr>
          <w:lang w:val="en-GB"/>
        </w:rPr>
        <w:t xml:space="preserve">arly </w:t>
      </w:r>
      <w:r>
        <w:rPr>
          <w:lang w:val="en-GB"/>
        </w:rPr>
        <w:t>d</w:t>
      </w:r>
      <w:r w:rsidRPr="009E267E">
        <w:rPr>
          <w:lang w:val="en-GB"/>
        </w:rPr>
        <w:t xml:space="preserve">etection and </w:t>
      </w:r>
      <w:r>
        <w:rPr>
          <w:lang w:val="en-GB"/>
        </w:rPr>
        <w:t>s</w:t>
      </w:r>
      <w:r w:rsidRPr="009E267E">
        <w:rPr>
          <w:lang w:val="en-GB"/>
        </w:rPr>
        <w:t>creening</w:t>
      </w:r>
      <w:r>
        <w:rPr>
          <w:lang w:val="en-GB"/>
        </w:rPr>
        <w:t xml:space="preserve"> include: </w:t>
      </w:r>
      <w:r w:rsidRPr="007A7BE8">
        <w:rPr>
          <w:lang w:val="en-GB"/>
        </w:rPr>
        <w:t xml:space="preserve">State </w:t>
      </w:r>
      <w:r>
        <w:rPr>
          <w:lang w:val="en-GB"/>
        </w:rPr>
        <w:t>i</w:t>
      </w:r>
      <w:r w:rsidRPr="007A7BE8">
        <w:rPr>
          <w:lang w:val="en-GB"/>
        </w:rPr>
        <w:t xml:space="preserve">mmunization </w:t>
      </w:r>
      <w:r>
        <w:rPr>
          <w:lang w:val="en-GB"/>
        </w:rPr>
        <w:t>p</w:t>
      </w:r>
      <w:r w:rsidRPr="007A7BE8">
        <w:rPr>
          <w:lang w:val="en-GB"/>
        </w:rPr>
        <w:t>rogram</w:t>
      </w:r>
      <w:r>
        <w:rPr>
          <w:lang w:val="en-GB"/>
        </w:rPr>
        <w:t xml:space="preserve">me; </w:t>
      </w:r>
      <w:r w:rsidRPr="007A7BE8">
        <w:rPr>
          <w:lang w:val="en-GB"/>
        </w:rPr>
        <w:t>State program</w:t>
      </w:r>
      <w:r>
        <w:rPr>
          <w:lang w:val="en-GB"/>
        </w:rPr>
        <w:t>me</w:t>
      </w:r>
      <w:r w:rsidRPr="007A7BE8">
        <w:rPr>
          <w:lang w:val="en-GB"/>
        </w:rPr>
        <w:t xml:space="preserve"> on </w:t>
      </w:r>
      <w:r>
        <w:rPr>
          <w:lang w:val="en-GB"/>
        </w:rPr>
        <w:t>e</w:t>
      </w:r>
      <w:r w:rsidRPr="007A7BE8">
        <w:rPr>
          <w:lang w:val="en-GB"/>
        </w:rPr>
        <w:t xml:space="preserve">pidemiological </w:t>
      </w:r>
      <w:r>
        <w:rPr>
          <w:lang w:val="en-GB"/>
        </w:rPr>
        <w:t>s</w:t>
      </w:r>
      <w:r w:rsidRPr="007A7BE8">
        <w:rPr>
          <w:lang w:val="en-GB"/>
        </w:rPr>
        <w:t>urveillance</w:t>
      </w:r>
      <w:r>
        <w:rPr>
          <w:lang w:val="en-GB"/>
        </w:rPr>
        <w:t xml:space="preserve">; </w:t>
      </w:r>
      <w:r w:rsidRPr="007A7BE8">
        <w:rPr>
          <w:lang w:val="en-GB"/>
        </w:rPr>
        <w:t xml:space="preserve">Safe blood </w:t>
      </w:r>
      <w:r>
        <w:rPr>
          <w:lang w:val="en-GB"/>
        </w:rPr>
        <w:t>s</w:t>
      </w:r>
      <w:r w:rsidRPr="007A7BE8">
        <w:rPr>
          <w:lang w:val="en-GB"/>
        </w:rPr>
        <w:t>tate program</w:t>
      </w:r>
      <w:r>
        <w:rPr>
          <w:lang w:val="en-GB"/>
        </w:rPr>
        <w:t xml:space="preserve">me; </w:t>
      </w:r>
      <w:r w:rsidRPr="007A7BE8">
        <w:rPr>
          <w:lang w:val="en-GB"/>
        </w:rPr>
        <w:t>State program</w:t>
      </w:r>
      <w:r>
        <w:rPr>
          <w:lang w:val="en-GB"/>
        </w:rPr>
        <w:t>me</w:t>
      </w:r>
      <w:r w:rsidRPr="007A7BE8">
        <w:rPr>
          <w:lang w:val="en-GB"/>
        </w:rPr>
        <w:t xml:space="preserve"> on </w:t>
      </w:r>
      <w:r>
        <w:rPr>
          <w:lang w:val="en-GB"/>
        </w:rPr>
        <w:t>p</w:t>
      </w:r>
      <w:r w:rsidRPr="007A7BE8">
        <w:rPr>
          <w:lang w:val="en-GB"/>
        </w:rPr>
        <w:t>revention of occupational diseases</w:t>
      </w:r>
      <w:r>
        <w:rPr>
          <w:lang w:val="en-GB"/>
        </w:rPr>
        <w:t xml:space="preserve">; </w:t>
      </w:r>
      <w:r w:rsidRPr="007A7BE8">
        <w:rPr>
          <w:lang w:val="en-GB"/>
        </w:rPr>
        <w:t xml:space="preserve">Tuberculosis management </w:t>
      </w:r>
      <w:r>
        <w:rPr>
          <w:lang w:val="en-GB"/>
        </w:rPr>
        <w:t>s</w:t>
      </w:r>
      <w:r w:rsidRPr="007A7BE8">
        <w:rPr>
          <w:lang w:val="en-GB"/>
        </w:rPr>
        <w:t>tate program</w:t>
      </w:r>
      <w:r>
        <w:rPr>
          <w:lang w:val="en-GB"/>
        </w:rPr>
        <w:t xml:space="preserve">me; </w:t>
      </w:r>
      <w:r w:rsidRPr="007A7BE8">
        <w:rPr>
          <w:lang w:val="en-GB"/>
        </w:rPr>
        <w:t xml:space="preserve">HIV/AIDS management </w:t>
      </w:r>
      <w:r>
        <w:rPr>
          <w:lang w:val="en-GB"/>
        </w:rPr>
        <w:t>s</w:t>
      </w:r>
      <w:r w:rsidRPr="007A7BE8">
        <w:rPr>
          <w:lang w:val="en-GB"/>
        </w:rPr>
        <w:t>tate program</w:t>
      </w:r>
      <w:r>
        <w:rPr>
          <w:lang w:val="en-GB"/>
        </w:rPr>
        <w:t xml:space="preserve">me; </w:t>
      </w:r>
      <w:r w:rsidRPr="007A7BE8">
        <w:rPr>
          <w:lang w:val="en-GB"/>
        </w:rPr>
        <w:t xml:space="preserve">Maternal and child health </w:t>
      </w:r>
      <w:r>
        <w:rPr>
          <w:lang w:val="en-GB"/>
        </w:rPr>
        <w:t>s</w:t>
      </w:r>
      <w:r w:rsidRPr="007A7BE8">
        <w:rPr>
          <w:lang w:val="en-GB"/>
        </w:rPr>
        <w:t>tate program</w:t>
      </w:r>
      <w:r>
        <w:rPr>
          <w:lang w:val="en-GB"/>
        </w:rPr>
        <w:t xml:space="preserve">; </w:t>
      </w:r>
      <w:r w:rsidRPr="007A7BE8">
        <w:rPr>
          <w:lang w:val="en-GB"/>
        </w:rPr>
        <w:t>Treatment of patients with drug addiction</w:t>
      </w:r>
      <w:r>
        <w:rPr>
          <w:lang w:val="en-GB"/>
        </w:rPr>
        <w:t xml:space="preserve">; </w:t>
      </w:r>
      <w:r w:rsidRPr="007A7BE8">
        <w:rPr>
          <w:lang w:val="en-GB"/>
        </w:rPr>
        <w:t xml:space="preserve">Health promotion </w:t>
      </w:r>
      <w:r>
        <w:rPr>
          <w:lang w:val="en-GB"/>
        </w:rPr>
        <w:t>s</w:t>
      </w:r>
      <w:r w:rsidRPr="007A7BE8">
        <w:rPr>
          <w:lang w:val="en-GB"/>
        </w:rPr>
        <w:t>tate program</w:t>
      </w:r>
      <w:r>
        <w:rPr>
          <w:lang w:val="en-GB"/>
        </w:rPr>
        <w:t xml:space="preserve">me; </w:t>
      </w:r>
      <w:r w:rsidRPr="007A7BE8">
        <w:rPr>
          <w:lang w:val="en-GB"/>
        </w:rPr>
        <w:t>State Program</w:t>
      </w:r>
      <w:r>
        <w:rPr>
          <w:lang w:val="en-GB"/>
        </w:rPr>
        <w:t>me</w:t>
      </w:r>
      <w:r w:rsidRPr="007A7BE8">
        <w:rPr>
          <w:lang w:val="en-GB"/>
        </w:rPr>
        <w:t xml:space="preserve"> on </w:t>
      </w:r>
      <w:r>
        <w:rPr>
          <w:lang w:val="en-GB"/>
        </w:rPr>
        <w:t>m</w:t>
      </w:r>
      <w:r w:rsidRPr="007A7BE8">
        <w:rPr>
          <w:lang w:val="en-GB"/>
        </w:rPr>
        <w:t>anagement of Hepatitis C</w:t>
      </w:r>
      <w:r>
        <w:rPr>
          <w:lang w:val="en-GB"/>
        </w:rPr>
        <w:t xml:space="preserve">. </w:t>
      </w:r>
    </w:p>
    <w:p w14:paraId="4D3DA35E" w14:textId="187B8E32" w:rsidR="006B6FC9" w:rsidRPr="007A7BE8" w:rsidRDefault="006B6FC9">
      <w:pPr>
        <w:pStyle w:val="Lbjegyzetszveg"/>
        <w:rPr>
          <w:lang w:val="en-GB"/>
        </w:rPr>
      </w:pPr>
      <w:r w:rsidRPr="007A7BE8">
        <w:rPr>
          <w:lang w:val="en-GB"/>
        </w:rPr>
        <w:t xml:space="preserve">State health programs in priority area include: Management of the </w:t>
      </w:r>
      <w:r>
        <w:rPr>
          <w:lang w:val="en-GB"/>
        </w:rPr>
        <w:t>i</w:t>
      </w:r>
      <w:r w:rsidRPr="007A7BE8">
        <w:rPr>
          <w:lang w:val="en-GB"/>
        </w:rPr>
        <w:t>nfectious diseases</w:t>
      </w:r>
      <w:r w:rsidRPr="00C74647">
        <w:rPr>
          <w:lang w:val="en-GB"/>
        </w:rPr>
        <w:t xml:space="preserve">; </w:t>
      </w:r>
      <w:r w:rsidRPr="007A7BE8">
        <w:rPr>
          <w:lang w:val="en-GB"/>
        </w:rPr>
        <w:t xml:space="preserve">Mental </w:t>
      </w:r>
      <w:r>
        <w:rPr>
          <w:lang w:val="en-GB"/>
        </w:rPr>
        <w:t>h</w:t>
      </w:r>
      <w:r w:rsidRPr="007A7BE8">
        <w:rPr>
          <w:lang w:val="en-GB"/>
        </w:rPr>
        <w:t>ealth</w:t>
      </w:r>
      <w:r w:rsidRPr="00C74647">
        <w:rPr>
          <w:lang w:val="en-GB"/>
        </w:rPr>
        <w:t xml:space="preserve">; </w:t>
      </w:r>
      <w:r w:rsidRPr="007A7BE8">
        <w:rPr>
          <w:lang w:val="en-GB"/>
        </w:rPr>
        <w:t xml:space="preserve">Management of </w:t>
      </w:r>
      <w:r>
        <w:rPr>
          <w:lang w:val="en-GB"/>
        </w:rPr>
        <w:t>d</w:t>
      </w:r>
      <w:r w:rsidRPr="007A7BE8">
        <w:rPr>
          <w:lang w:val="en-GB"/>
        </w:rPr>
        <w:t>iabetes</w:t>
      </w:r>
      <w:r w:rsidRPr="00C74647">
        <w:rPr>
          <w:lang w:val="en-GB"/>
        </w:rPr>
        <w:t xml:space="preserve">; </w:t>
      </w:r>
      <w:r w:rsidRPr="007A7BE8">
        <w:rPr>
          <w:lang w:val="en-GB"/>
        </w:rPr>
        <w:t>Treatment of patients with drug addiction</w:t>
      </w:r>
      <w:r w:rsidRPr="00C74647">
        <w:rPr>
          <w:lang w:val="en-GB"/>
        </w:rPr>
        <w:t xml:space="preserve">; </w:t>
      </w:r>
      <w:r w:rsidRPr="007A7BE8">
        <w:rPr>
          <w:lang w:val="en-GB"/>
        </w:rPr>
        <w:t>Services for child oncological h</w:t>
      </w:r>
      <w:r>
        <w:rPr>
          <w:lang w:val="en-GB"/>
        </w:rPr>
        <w:t>a</w:t>
      </w:r>
      <w:r w:rsidRPr="007A7BE8">
        <w:rPr>
          <w:lang w:val="en-GB"/>
        </w:rPr>
        <w:t>ematology diseases</w:t>
      </w:r>
      <w:r w:rsidRPr="00C74647">
        <w:rPr>
          <w:lang w:val="en-GB"/>
        </w:rPr>
        <w:t xml:space="preserve">; </w:t>
      </w:r>
      <w:r w:rsidRPr="007A7BE8">
        <w:rPr>
          <w:lang w:val="en-GB"/>
        </w:rPr>
        <w:t>Provide medicines for the treatment of chronic diseases</w:t>
      </w:r>
      <w:r w:rsidRPr="00C74647">
        <w:rPr>
          <w:lang w:val="en-GB"/>
        </w:rPr>
        <w:t xml:space="preserve">; </w:t>
      </w:r>
      <w:r w:rsidRPr="007A7BE8">
        <w:rPr>
          <w:lang w:val="en-GB"/>
        </w:rPr>
        <w:t>Dialysis and kidney transplantation</w:t>
      </w:r>
      <w:r w:rsidRPr="00C74647">
        <w:rPr>
          <w:lang w:val="en-GB"/>
        </w:rPr>
        <w:t xml:space="preserve">; </w:t>
      </w:r>
      <w:r w:rsidRPr="007A7BE8">
        <w:rPr>
          <w:lang w:val="en-GB"/>
        </w:rPr>
        <w:t>Palliative care of incurable patients</w:t>
      </w:r>
      <w:r w:rsidRPr="00C74647">
        <w:rPr>
          <w:lang w:val="en-GB"/>
        </w:rPr>
        <w:t xml:space="preserve">; </w:t>
      </w:r>
      <w:r w:rsidRPr="007A7BE8">
        <w:rPr>
          <w:lang w:val="en-GB"/>
        </w:rPr>
        <w:t>Treatment with patients suffering from rare diseases and permanent replacement treatment</w:t>
      </w:r>
      <w:r w:rsidRPr="00C74647">
        <w:rPr>
          <w:lang w:val="en-GB"/>
        </w:rPr>
        <w:t xml:space="preserve">; </w:t>
      </w:r>
      <w:r w:rsidRPr="007A7BE8">
        <w:rPr>
          <w:lang w:val="en-GB"/>
        </w:rPr>
        <w:t>Ambulance and emergency care</w:t>
      </w:r>
      <w:r w:rsidRPr="00C74647">
        <w:rPr>
          <w:lang w:val="en-GB"/>
        </w:rPr>
        <w:t xml:space="preserve">; </w:t>
      </w:r>
      <w:r w:rsidRPr="007A7BE8">
        <w:rPr>
          <w:lang w:val="en-GB"/>
        </w:rPr>
        <w:t>Rural doctors</w:t>
      </w:r>
      <w:r w:rsidRPr="00C74647">
        <w:rPr>
          <w:lang w:val="en-GB"/>
        </w:rPr>
        <w:t xml:space="preserve"> programme; </w:t>
      </w:r>
      <w:r w:rsidRPr="007A7BE8">
        <w:rPr>
          <w:lang w:val="en-GB"/>
        </w:rPr>
        <w:t>Medical examination for army recruits</w:t>
      </w:r>
      <w:r w:rsidRPr="00C74647">
        <w:rPr>
          <w:lang w:val="en-GB"/>
        </w:rPr>
        <w:t xml:space="preserve">; </w:t>
      </w:r>
      <w:r w:rsidRPr="007A7BE8">
        <w:rPr>
          <w:lang w:val="en-GB"/>
        </w:rPr>
        <w:t xml:space="preserve">Referral service (individual treatment). </w:t>
      </w:r>
    </w:p>
  </w:footnote>
  <w:footnote w:id="11">
    <w:p w14:paraId="46D1E485" w14:textId="295161E9" w:rsidR="006B6FC9" w:rsidRPr="00644E3F" w:rsidRDefault="006B6FC9">
      <w:pPr>
        <w:pStyle w:val="Lbjegyzetszveg"/>
      </w:pPr>
      <w:r>
        <w:rPr>
          <w:rStyle w:val="Lbjegyzet-hivatkozs"/>
        </w:rPr>
        <w:footnoteRef/>
      </w:r>
      <w:r>
        <w:t xml:space="preserve"> </w:t>
      </w:r>
      <w:hyperlink r:id="rId4" w:history="1">
        <w:r w:rsidRPr="00644E3F">
          <w:rPr>
            <w:rStyle w:val="Hiperhivatkozs"/>
          </w:rPr>
          <w:t>http://www.georgia-ccm.ge/wp-content/uploads/Georgia-HIV-AIDS-National-Strategic-Plan-2019-20222.pdf</w:t>
        </w:r>
      </w:hyperlink>
      <w:r>
        <w:t xml:space="preserve"> </w:t>
      </w:r>
    </w:p>
  </w:footnote>
  <w:footnote w:id="12">
    <w:p w14:paraId="4C3528EA" w14:textId="77777777" w:rsidR="006B6FC9" w:rsidRPr="0019409A" w:rsidRDefault="006B6FC9" w:rsidP="0019409A">
      <w:pPr>
        <w:pStyle w:val="Lbjegyzetszveg"/>
      </w:pPr>
      <w:r>
        <w:rPr>
          <w:rStyle w:val="Lbjegyzet-hivatkozs"/>
        </w:rPr>
        <w:footnoteRef/>
      </w:r>
      <w:r>
        <w:t xml:space="preserve"> </w:t>
      </w:r>
      <w:r w:rsidRPr="0019409A">
        <w:rPr>
          <w:lang w:val="en-GB"/>
        </w:rPr>
        <w:t>Ministry of Internally Displaced Persons from the Occupied Territories, Labour, Health and Social Affairs of Georgia, National Centre for Disease Control and Public Health, Health Care Statistical Yearbook 2018 Georgia, Tbilisi, 2019</w:t>
      </w:r>
    </w:p>
  </w:footnote>
  <w:footnote w:id="13">
    <w:p w14:paraId="1F290EC3" w14:textId="67B28F43" w:rsidR="006B6FC9" w:rsidRPr="00AD1E30" w:rsidRDefault="006B6FC9" w:rsidP="00AD1E30">
      <w:pPr>
        <w:pStyle w:val="Lbjegyzetszveg"/>
      </w:pPr>
      <w:r>
        <w:rPr>
          <w:rStyle w:val="Lbjegyzet-hivatkozs"/>
        </w:rPr>
        <w:footnoteRef/>
      </w:r>
      <w:r>
        <w:t xml:space="preserve"> </w:t>
      </w:r>
      <w:r w:rsidRPr="00AD1E30">
        <w:rPr>
          <w:lang w:val="en-GB"/>
        </w:rPr>
        <w:t xml:space="preserve">Primary health care systems (PRIMASYS): </w:t>
      </w:r>
      <w:r>
        <w:rPr>
          <w:lang w:val="en-GB"/>
        </w:rPr>
        <w:t>C</w:t>
      </w:r>
      <w:r w:rsidRPr="00AD1E30">
        <w:rPr>
          <w:lang w:val="en-GB"/>
        </w:rPr>
        <w:t>ase study from Georgia. Geneva: World Health</w:t>
      </w:r>
      <w:r>
        <w:rPr>
          <w:lang w:val="en-GB"/>
        </w:rPr>
        <w:t xml:space="preserve"> </w:t>
      </w:r>
      <w:r w:rsidRPr="00AD1E30">
        <w:rPr>
          <w:lang w:val="en-GB"/>
        </w:rPr>
        <w:t>Organization; 2017</w:t>
      </w:r>
    </w:p>
  </w:footnote>
  <w:footnote w:id="14">
    <w:p w14:paraId="3E30B894" w14:textId="337B9617" w:rsidR="006B6FC9" w:rsidRPr="00144440" w:rsidRDefault="006B6FC9">
      <w:pPr>
        <w:pStyle w:val="Lbjegyzetszveg"/>
      </w:pPr>
      <w:r>
        <w:rPr>
          <w:rStyle w:val="Lbjegyzet-hivatkozs"/>
        </w:rPr>
        <w:footnoteRef/>
      </w:r>
      <w:r>
        <w:t xml:space="preserve"> </w:t>
      </w:r>
      <w:r w:rsidRPr="00781039">
        <w:t xml:space="preserve">Ministry of Internally Displaced Persons from the Occupied Territories, </w:t>
      </w:r>
      <w:proofErr w:type="spellStart"/>
      <w:r w:rsidRPr="00781039">
        <w:t>Labour</w:t>
      </w:r>
      <w:proofErr w:type="spellEnd"/>
      <w:r w:rsidRPr="00781039">
        <w:t>, Health and Social Affairs of Georgia</w:t>
      </w:r>
      <w:r>
        <w:t>, National Centre for Disease Control and Public Health, World Health Organization:</w:t>
      </w:r>
      <w:r w:rsidRPr="00781039">
        <w:t xml:space="preserve"> Non-Communicable Diseases Risk-Factor Steps Survey, Georgia, 2016</w:t>
      </w:r>
    </w:p>
  </w:footnote>
  <w:footnote w:id="15">
    <w:p w14:paraId="719EC555" w14:textId="77777777" w:rsidR="006B6FC9" w:rsidRPr="003D7F82" w:rsidRDefault="006B6FC9" w:rsidP="005F1613">
      <w:pPr>
        <w:pStyle w:val="Lbjegyzetszveg"/>
      </w:pPr>
      <w:r>
        <w:rPr>
          <w:rStyle w:val="Lbjegyzet-hivatkozs"/>
        </w:rPr>
        <w:footnoteRef/>
      </w:r>
      <w:r>
        <w:t xml:space="preserve"> </w:t>
      </w:r>
      <w:r w:rsidRPr="00CB64D7">
        <w:rPr>
          <w:lang w:val="en-GB"/>
        </w:rPr>
        <w:t>National Center for Disease Control</w:t>
      </w:r>
      <w:r>
        <w:rPr>
          <w:lang w:val="en-GB"/>
        </w:rPr>
        <w:t xml:space="preserve"> and Public Health </w:t>
      </w:r>
      <w:r w:rsidRPr="00CB64D7">
        <w:rPr>
          <w:lang w:val="en-GB"/>
        </w:rPr>
        <w:t>and the National Statistics Office of Georgia</w:t>
      </w:r>
    </w:p>
  </w:footnote>
  <w:footnote w:id="16">
    <w:p w14:paraId="0D20F8A2" w14:textId="56898599" w:rsidR="006B6FC9" w:rsidRPr="00781039" w:rsidRDefault="006B6FC9">
      <w:pPr>
        <w:pStyle w:val="Lbjegyzetszveg"/>
      </w:pPr>
      <w:r>
        <w:rPr>
          <w:rStyle w:val="Lbjegyzet-hivatkozs"/>
        </w:rPr>
        <w:footnoteRef/>
      </w:r>
      <w:r>
        <w:t xml:space="preserve"> </w:t>
      </w:r>
      <w:r w:rsidRPr="00781039">
        <w:t xml:space="preserve">Ministry of Internally Displaced Persons from the Occupied Territories, </w:t>
      </w:r>
      <w:proofErr w:type="spellStart"/>
      <w:r w:rsidRPr="00781039">
        <w:t>Labour</w:t>
      </w:r>
      <w:proofErr w:type="spellEnd"/>
      <w:r w:rsidRPr="00781039">
        <w:t>, Health and Social Affairs of Georgia</w:t>
      </w:r>
      <w:r>
        <w:t>, National Centre for Disease Control and Public Health, World Health Organization:</w:t>
      </w:r>
      <w:r w:rsidRPr="00781039">
        <w:t xml:space="preserve"> Non-Communicable Diseases Risk-Factor Steps Survey, Georgia, 2016</w:t>
      </w:r>
    </w:p>
  </w:footnote>
  <w:footnote w:id="17">
    <w:p w14:paraId="7C8E053B" w14:textId="6BFC7ECA" w:rsidR="006B6FC9" w:rsidRPr="00B425C8" w:rsidRDefault="006B6FC9">
      <w:pPr>
        <w:pStyle w:val="Lbjegyzetszveg"/>
      </w:pPr>
      <w:r>
        <w:rPr>
          <w:rStyle w:val="Lbjegyzet-hivatkozs"/>
        </w:rPr>
        <w:footnoteRef/>
      </w:r>
      <w:r>
        <w:t xml:space="preserve"> </w:t>
      </w:r>
      <w:r w:rsidRPr="00B425C8">
        <w:t>Subnational governments around the world</w:t>
      </w:r>
      <w:r>
        <w:t>;</w:t>
      </w:r>
      <w:r w:rsidRPr="00B425C8">
        <w:t xml:space="preserve"> Structure and finance</w:t>
      </w:r>
      <w:r>
        <w:t>;</w:t>
      </w:r>
      <w:r w:rsidRPr="00B425C8">
        <w:t xml:space="preserve"> A first contribution to the Global Observatory on Local Finances</w:t>
      </w:r>
      <w:r>
        <w:t xml:space="preserve">; </w:t>
      </w:r>
      <w:r w:rsidRPr="00B425C8">
        <w:t>Synthesis Analysis</w:t>
      </w:r>
      <w:r>
        <w:t xml:space="preserve"> - </w:t>
      </w:r>
      <w:r w:rsidRPr="00B425C8">
        <w:t xml:space="preserve">Methodology </w:t>
      </w:r>
      <w:r>
        <w:t>a</w:t>
      </w:r>
      <w:r w:rsidRPr="00B425C8">
        <w:t>nd Country Sample</w:t>
      </w:r>
      <w:r>
        <w:t>;</w:t>
      </w:r>
      <w:r w:rsidRPr="00B425C8">
        <w:t xml:space="preserve"> </w:t>
      </w:r>
      <w:r>
        <w:t>Joint Study of United Cities and Local Governments (UCLG) and Organization for Economic Cooperation and Developments (OECD), October 2016</w:t>
      </w:r>
    </w:p>
  </w:footnote>
  <w:footnote w:id="18">
    <w:p w14:paraId="53CB910D" w14:textId="670EBF67" w:rsidR="006B6FC9" w:rsidRPr="008C0C9C" w:rsidRDefault="006B6FC9" w:rsidP="008C0C9C">
      <w:pPr>
        <w:pStyle w:val="Lbjegyzetszveg"/>
      </w:pPr>
      <w:r w:rsidRPr="008C0C9C">
        <w:rPr>
          <w:rStyle w:val="Lbjegyzet-hivatkozs"/>
        </w:rPr>
        <w:footnoteRef/>
      </w:r>
      <w:r w:rsidRPr="008C0C9C">
        <w:t xml:space="preserve"> </w:t>
      </w:r>
      <w:r w:rsidRPr="008C0C9C">
        <w:rPr>
          <w:lang w:val="en-GB"/>
        </w:rPr>
        <w:t xml:space="preserve">Richardson E, </w:t>
      </w:r>
      <w:proofErr w:type="spellStart"/>
      <w:r w:rsidRPr="008C0C9C">
        <w:rPr>
          <w:lang w:val="en-GB"/>
        </w:rPr>
        <w:t>Berdzuli</w:t>
      </w:r>
      <w:proofErr w:type="spellEnd"/>
      <w:r w:rsidRPr="008C0C9C">
        <w:rPr>
          <w:lang w:val="en-GB"/>
        </w:rPr>
        <w:t xml:space="preserve"> N. Georgia: Health system review. Health Systems in Transition, Vol. 19 No. 4 2017, World Health Organization, European Observatory on Health Systems and Policies</w:t>
      </w:r>
    </w:p>
  </w:footnote>
  <w:footnote w:id="19">
    <w:p w14:paraId="3F3C9AEC" w14:textId="35A880BD" w:rsidR="006B6FC9" w:rsidRPr="008C0C9C" w:rsidRDefault="006B6FC9">
      <w:pPr>
        <w:pStyle w:val="Lbjegyzetszveg"/>
      </w:pPr>
      <w:r>
        <w:rPr>
          <w:rStyle w:val="Lbjegyzet-hivatkozs"/>
        </w:rPr>
        <w:footnoteRef/>
      </w:r>
      <w:r>
        <w:t xml:space="preserve"> </w:t>
      </w:r>
      <w:r w:rsidRPr="008C0C9C">
        <w:rPr>
          <w:lang w:val="en-GB"/>
        </w:rPr>
        <w:t xml:space="preserve">Richardson E, </w:t>
      </w:r>
      <w:proofErr w:type="spellStart"/>
      <w:r w:rsidRPr="008C0C9C">
        <w:rPr>
          <w:lang w:val="en-GB"/>
        </w:rPr>
        <w:t>Berdzuli</w:t>
      </w:r>
      <w:proofErr w:type="spellEnd"/>
      <w:r w:rsidRPr="008C0C9C">
        <w:rPr>
          <w:lang w:val="en-GB"/>
        </w:rPr>
        <w:t xml:space="preserve"> N. Georgia: Health system review. Health Systems in Transition, Vol. 19 No. 4 2017, World Health Organization, European Observatory on Health Systems and Policies</w:t>
      </w:r>
    </w:p>
  </w:footnote>
  <w:footnote w:id="20">
    <w:p w14:paraId="57F1DCC0" w14:textId="42AB1172" w:rsidR="006B6FC9" w:rsidRPr="00C710A1" w:rsidRDefault="006B6FC9">
      <w:pPr>
        <w:pStyle w:val="Lbjegyzetszveg"/>
        <w:rPr>
          <w:b/>
          <w:bCs/>
        </w:rPr>
      </w:pPr>
      <w:r>
        <w:rPr>
          <w:rStyle w:val="Lbjegyzet-hivatkozs"/>
        </w:rPr>
        <w:footnoteRef/>
      </w:r>
      <w:r>
        <w:t xml:space="preserve"> The Global Fund to Fight Aids, Tuberculosis and Malaria, </w:t>
      </w:r>
      <w:hyperlink r:id="rId5" w:history="1">
        <w:r w:rsidRPr="0036589F">
          <w:rPr>
            <w:rStyle w:val="Hiperhivatkozs"/>
          </w:rPr>
          <w:t>https://www.theglobalfund.org</w:t>
        </w:r>
      </w:hyperlink>
      <w:r>
        <w:t xml:space="preserve"> </w:t>
      </w:r>
    </w:p>
  </w:footnote>
  <w:footnote w:id="21">
    <w:p w14:paraId="2F9F115B" w14:textId="4D323893" w:rsidR="006B6FC9" w:rsidRPr="00C710A1" w:rsidRDefault="006B6FC9">
      <w:pPr>
        <w:pStyle w:val="Lbjegyzetszveg"/>
      </w:pPr>
      <w:r>
        <w:rPr>
          <w:rStyle w:val="Lbjegyzet-hivatkozs"/>
        </w:rPr>
        <w:footnoteRef/>
      </w:r>
      <w:r>
        <w:t xml:space="preserve"> </w:t>
      </w:r>
      <w:hyperlink r:id="rId6" w:history="1">
        <w:r>
          <w:rPr>
            <w:rStyle w:val="Hiperhivatkozs"/>
          </w:rPr>
          <w:t>https://www.uhcpartnership.net/</w:t>
        </w:r>
      </w:hyperlink>
      <w:r>
        <w:t xml:space="preserve"> </w:t>
      </w:r>
    </w:p>
  </w:footnote>
  <w:footnote w:id="22">
    <w:p w14:paraId="3CE1E87C" w14:textId="77777777" w:rsidR="006B6FC9" w:rsidRPr="00212975" w:rsidRDefault="006B6FC9">
      <w:pPr>
        <w:pStyle w:val="Lbjegyzetszveg"/>
        <w:rPr>
          <w:sz w:val="18"/>
          <w:szCs w:val="18"/>
        </w:rPr>
      </w:pPr>
      <w:r w:rsidRPr="00212975">
        <w:rPr>
          <w:rStyle w:val="Nessuno"/>
          <w:sz w:val="18"/>
          <w:szCs w:val="18"/>
          <w:vertAlign w:val="superscript"/>
        </w:rPr>
        <w:footnoteRef/>
      </w:r>
      <w:r w:rsidRPr="00212975">
        <w:rPr>
          <w:rFonts w:eastAsia="Arial Unicode MS"/>
          <w:sz w:val="18"/>
          <w:szCs w:val="18"/>
        </w:rPr>
        <w:t xml:space="preserve"> </w:t>
      </w:r>
      <w:hyperlink r:id="rId7" w:history="1">
        <w:r w:rsidRPr="00212975">
          <w:rPr>
            <w:rFonts w:eastAsia="Arial Unicode MS"/>
            <w:sz w:val="18"/>
            <w:szCs w:val="18"/>
          </w:rPr>
          <w:t>www.sanctionsmap.eu</w:t>
        </w:r>
      </w:hyperlink>
      <w:r w:rsidRPr="00212975">
        <w:rPr>
          <w:rFonts w:eastAsia="Arial Unicode MS"/>
          <w:sz w:val="18"/>
          <w:szCs w:val="18"/>
        </w:rPr>
        <w:t xml:space="preserve"> Please note that the sanctions map is an IT tool for identifying the sanctions regimes. The source of the sanctions stems from legal acts published in the Official Journal (OJ). In</w:t>
      </w:r>
      <w:r w:rsidRPr="00212975">
        <w:rPr>
          <w:rStyle w:val="Nessuno"/>
          <w:rFonts w:eastAsia="Arial Unicode MS"/>
          <w:sz w:val="18"/>
          <w:szCs w:val="18"/>
        </w:rPr>
        <w:t xml:space="preserve"> </w:t>
      </w:r>
      <w:r w:rsidRPr="00212975">
        <w:rPr>
          <w:rFonts w:eastAsia="Arial Unicode MS"/>
          <w:sz w:val="18"/>
          <w:szCs w:val="18"/>
        </w:rPr>
        <w:t>case of discrepancy between the published legal acts and the updates on the website it is the OJ version that prevails.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40F2" w14:textId="77777777" w:rsidR="006B6FC9" w:rsidRDefault="006B6FC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7638D" w14:textId="77777777" w:rsidR="006B6FC9" w:rsidRDefault="006B6FC9">
    <w:pPr>
      <w:pStyle w:val="Intestazioneepidipagin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57D5" w14:textId="77777777" w:rsidR="006B6FC9" w:rsidRDefault="006B6FC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63D"/>
    <w:multiLevelType w:val="hybridMultilevel"/>
    <w:tmpl w:val="4DD2C590"/>
    <w:styleLink w:val="Stileimportato7"/>
    <w:lvl w:ilvl="0" w:tplc="B63E1D4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5CF45A">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DE4502">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F6F910">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BAC830">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EF82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68C602">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F0F09A">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044B6E">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EAB6FC9"/>
    <w:multiLevelType w:val="hybridMultilevel"/>
    <w:tmpl w:val="C8B2F3F4"/>
    <w:lvl w:ilvl="0" w:tplc="06BC9F84">
      <w:start w:val="1"/>
      <w:numFmt w:val="bullet"/>
      <w:lvlText w:val="•"/>
      <w:lvlJc w:val="left"/>
      <w:pPr>
        <w:tabs>
          <w:tab w:val="left" w:pos="720"/>
        </w:tabs>
        <w:ind w:left="318" w:hanging="284"/>
      </w:pPr>
      <w:rPr>
        <w:rFonts w:ascii="Georgia" w:hAnsi="Georgia"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A40B7A">
      <w:start w:val="1"/>
      <w:numFmt w:val="bullet"/>
      <w:lvlText w:val="o"/>
      <w:lvlJc w:val="left"/>
      <w:pPr>
        <w:tabs>
          <w:tab w:val="left" w:pos="318"/>
          <w:tab w:val="left" w:pos="720"/>
        </w:tabs>
        <w:ind w:left="10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C4EB04">
      <w:start w:val="1"/>
      <w:numFmt w:val="bullet"/>
      <w:lvlText w:val="▪"/>
      <w:lvlJc w:val="left"/>
      <w:pPr>
        <w:tabs>
          <w:tab w:val="left" w:pos="318"/>
          <w:tab w:val="left" w:pos="720"/>
        </w:tabs>
        <w:ind w:left="17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7085D0">
      <w:start w:val="1"/>
      <w:numFmt w:val="bullet"/>
      <w:lvlText w:val="·"/>
      <w:lvlJc w:val="left"/>
      <w:pPr>
        <w:tabs>
          <w:tab w:val="left" w:pos="318"/>
          <w:tab w:val="left" w:pos="720"/>
        </w:tabs>
        <w:ind w:left="24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B21948">
      <w:start w:val="1"/>
      <w:numFmt w:val="bullet"/>
      <w:lvlText w:val="o"/>
      <w:lvlJc w:val="left"/>
      <w:pPr>
        <w:tabs>
          <w:tab w:val="left" w:pos="318"/>
          <w:tab w:val="left" w:pos="720"/>
        </w:tabs>
        <w:ind w:left="31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CADB70">
      <w:start w:val="1"/>
      <w:numFmt w:val="bullet"/>
      <w:lvlText w:val="▪"/>
      <w:lvlJc w:val="left"/>
      <w:pPr>
        <w:tabs>
          <w:tab w:val="left" w:pos="318"/>
          <w:tab w:val="left" w:pos="720"/>
        </w:tabs>
        <w:ind w:left="39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46C526">
      <w:start w:val="1"/>
      <w:numFmt w:val="bullet"/>
      <w:lvlText w:val="·"/>
      <w:lvlJc w:val="left"/>
      <w:pPr>
        <w:tabs>
          <w:tab w:val="left" w:pos="318"/>
          <w:tab w:val="left" w:pos="720"/>
        </w:tabs>
        <w:ind w:left="46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0CC56C">
      <w:start w:val="1"/>
      <w:numFmt w:val="bullet"/>
      <w:lvlText w:val="o"/>
      <w:lvlJc w:val="left"/>
      <w:pPr>
        <w:tabs>
          <w:tab w:val="left" w:pos="318"/>
          <w:tab w:val="left" w:pos="720"/>
        </w:tabs>
        <w:ind w:left="53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1C86FA">
      <w:start w:val="1"/>
      <w:numFmt w:val="bullet"/>
      <w:lvlText w:val="▪"/>
      <w:lvlJc w:val="left"/>
      <w:pPr>
        <w:tabs>
          <w:tab w:val="left" w:pos="318"/>
          <w:tab w:val="left" w:pos="720"/>
        </w:tabs>
        <w:ind w:left="60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0DF6408"/>
    <w:multiLevelType w:val="hybridMultilevel"/>
    <w:tmpl w:val="C5E2F434"/>
    <w:lvl w:ilvl="0" w:tplc="0EC4B600">
      <w:numFmt w:val="bullet"/>
      <w:lvlText w:val="•"/>
      <w:lvlJc w:val="left"/>
      <w:pPr>
        <w:ind w:left="603" w:hanging="121"/>
      </w:pPr>
      <w:rPr>
        <w:rFonts w:ascii="Myriad Pro Light SemiCond" w:eastAsia="Myriad Pro Light SemiCond" w:hAnsi="Myriad Pro Light SemiCond" w:cs="Myriad Pro Light SemiCond" w:hint="default"/>
        <w:spacing w:val="-7"/>
        <w:w w:val="1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E278A"/>
    <w:multiLevelType w:val="multilevel"/>
    <w:tmpl w:val="231656E2"/>
    <w:lvl w:ilvl="0">
      <w:numFmt w:val="bullet"/>
      <w:lvlText w:val="•"/>
      <w:lvlJc w:val="left"/>
      <w:pPr>
        <w:tabs>
          <w:tab w:val="num" w:pos="720"/>
        </w:tabs>
        <w:ind w:left="720" w:hanging="360"/>
      </w:pPr>
      <w:rPr>
        <w:rFonts w:ascii="Myriad Pro Light SemiCond" w:eastAsia="Myriad Pro Light SemiCond" w:hAnsi="Myriad Pro Light SemiCond" w:cs="Myriad Pro Light SemiCond" w:hint="default"/>
        <w:spacing w:val="-8"/>
        <w:w w:val="100"/>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764AD"/>
    <w:multiLevelType w:val="hybridMultilevel"/>
    <w:tmpl w:val="2878E2E8"/>
    <w:lvl w:ilvl="0" w:tplc="6194EDA6">
      <w:start w:val="1"/>
      <w:numFmt w:val="bullet"/>
      <w:lvlText w:val="·"/>
      <w:lvlJc w:val="left"/>
      <w:pPr>
        <w:ind w:left="176" w:hanging="1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E2B542">
      <w:start w:val="1"/>
      <w:numFmt w:val="bullet"/>
      <w:lvlText w:val="o"/>
      <w:lvlJc w:val="left"/>
      <w:pPr>
        <w:tabs>
          <w:tab w:val="left" w:pos="176"/>
        </w:tabs>
        <w:ind w:left="89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BA9946">
      <w:start w:val="1"/>
      <w:numFmt w:val="bullet"/>
      <w:lvlText w:val="▪"/>
      <w:lvlJc w:val="left"/>
      <w:pPr>
        <w:tabs>
          <w:tab w:val="left" w:pos="176"/>
        </w:tabs>
        <w:ind w:left="161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6CDC86">
      <w:start w:val="1"/>
      <w:numFmt w:val="bullet"/>
      <w:lvlText w:val="·"/>
      <w:lvlJc w:val="left"/>
      <w:pPr>
        <w:tabs>
          <w:tab w:val="left" w:pos="176"/>
        </w:tabs>
        <w:ind w:left="2336" w:hanging="1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9AC9BE">
      <w:start w:val="1"/>
      <w:numFmt w:val="bullet"/>
      <w:lvlText w:val="o"/>
      <w:lvlJc w:val="left"/>
      <w:pPr>
        <w:tabs>
          <w:tab w:val="left" w:pos="176"/>
        </w:tabs>
        <w:ind w:left="305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C26A6">
      <w:start w:val="1"/>
      <w:numFmt w:val="bullet"/>
      <w:lvlText w:val="▪"/>
      <w:lvlJc w:val="left"/>
      <w:pPr>
        <w:tabs>
          <w:tab w:val="left" w:pos="176"/>
        </w:tabs>
        <w:ind w:left="377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66C244">
      <w:start w:val="1"/>
      <w:numFmt w:val="bullet"/>
      <w:lvlText w:val="·"/>
      <w:lvlJc w:val="left"/>
      <w:pPr>
        <w:tabs>
          <w:tab w:val="left" w:pos="176"/>
        </w:tabs>
        <w:ind w:left="4496" w:hanging="1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D4BE22">
      <w:start w:val="1"/>
      <w:numFmt w:val="bullet"/>
      <w:lvlText w:val="o"/>
      <w:lvlJc w:val="left"/>
      <w:pPr>
        <w:tabs>
          <w:tab w:val="left" w:pos="176"/>
        </w:tabs>
        <w:ind w:left="521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D219C8">
      <w:start w:val="1"/>
      <w:numFmt w:val="bullet"/>
      <w:lvlText w:val="▪"/>
      <w:lvlJc w:val="left"/>
      <w:pPr>
        <w:tabs>
          <w:tab w:val="left" w:pos="176"/>
        </w:tabs>
        <w:ind w:left="593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976528"/>
    <w:multiLevelType w:val="multilevel"/>
    <w:tmpl w:val="57A26D3C"/>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msor3"/>
      <w:lvlText w:val="%1.%2.%3"/>
      <w:lvlJc w:val="left"/>
      <w:pPr>
        <w:ind w:left="143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Cmsor4"/>
      <w:lvlText w:val="%1.%2.%3.%4"/>
      <w:lvlJc w:val="left"/>
      <w:pPr>
        <w:ind w:left="2664" w:hanging="864"/>
      </w:pPr>
      <w:rPr>
        <w:rFonts w:hint="default"/>
        <w:b/>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6" w15:restartNumberingAfterBreak="0">
    <w:nsid w:val="27620820"/>
    <w:multiLevelType w:val="hybridMultilevel"/>
    <w:tmpl w:val="18EEA818"/>
    <w:lvl w:ilvl="0" w:tplc="B05C6E16">
      <w:numFmt w:val="bullet"/>
      <w:lvlText w:val="•"/>
      <w:lvlJc w:val="left"/>
      <w:pPr>
        <w:ind w:left="720" w:hanging="360"/>
      </w:pPr>
      <w:rPr>
        <w:rFonts w:ascii="Myriad Pro Light SemiCond" w:eastAsia="Myriad Pro Light SemiCond" w:hAnsi="Myriad Pro Light SemiCond" w:cs="Myriad Pro Light SemiCond" w:hint="default"/>
        <w:spacing w:val="-8"/>
        <w:w w:val="1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A2144"/>
    <w:multiLevelType w:val="hybridMultilevel"/>
    <w:tmpl w:val="E6ACF956"/>
    <w:lvl w:ilvl="0" w:tplc="06BC9F84">
      <w:start w:val="1"/>
      <w:numFmt w:val="bullet"/>
      <w:lvlText w:val="•"/>
      <w:lvlJc w:val="left"/>
      <w:pPr>
        <w:ind w:left="176" w:hanging="176"/>
      </w:pPr>
      <w:rPr>
        <w:rFonts w:ascii="Georgia" w:hAnsi="Georgia"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E851AE">
      <w:start w:val="1"/>
      <w:numFmt w:val="bullet"/>
      <w:lvlText w:val="o"/>
      <w:lvlJc w:val="left"/>
      <w:pPr>
        <w:tabs>
          <w:tab w:val="left" w:pos="176"/>
        </w:tabs>
        <w:ind w:left="89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B010BA">
      <w:start w:val="1"/>
      <w:numFmt w:val="bullet"/>
      <w:lvlText w:val="▪"/>
      <w:lvlJc w:val="left"/>
      <w:pPr>
        <w:tabs>
          <w:tab w:val="left" w:pos="176"/>
        </w:tabs>
        <w:ind w:left="161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7CB8F8">
      <w:start w:val="1"/>
      <w:numFmt w:val="bullet"/>
      <w:lvlText w:val="·"/>
      <w:lvlJc w:val="left"/>
      <w:pPr>
        <w:tabs>
          <w:tab w:val="left" w:pos="176"/>
        </w:tabs>
        <w:ind w:left="2336" w:hanging="1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1096D2">
      <w:start w:val="1"/>
      <w:numFmt w:val="bullet"/>
      <w:lvlText w:val="o"/>
      <w:lvlJc w:val="left"/>
      <w:pPr>
        <w:tabs>
          <w:tab w:val="left" w:pos="176"/>
        </w:tabs>
        <w:ind w:left="305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4AA1F8">
      <w:start w:val="1"/>
      <w:numFmt w:val="bullet"/>
      <w:lvlText w:val="▪"/>
      <w:lvlJc w:val="left"/>
      <w:pPr>
        <w:tabs>
          <w:tab w:val="left" w:pos="176"/>
        </w:tabs>
        <w:ind w:left="377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8A1952">
      <w:start w:val="1"/>
      <w:numFmt w:val="bullet"/>
      <w:lvlText w:val="·"/>
      <w:lvlJc w:val="left"/>
      <w:pPr>
        <w:tabs>
          <w:tab w:val="left" w:pos="176"/>
        </w:tabs>
        <w:ind w:left="4496" w:hanging="1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408BE4">
      <w:start w:val="1"/>
      <w:numFmt w:val="bullet"/>
      <w:lvlText w:val="o"/>
      <w:lvlJc w:val="left"/>
      <w:pPr>
        <w:tabs>
          <w:tab w:val="left" w:pos="176"/>
        </w:tabs>
        <w:ind w:left="521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8E0650">
      <w:start w:val="1"/>
      <w:numFmt w:val="bullet"/>
      <w:lvlText w:val="▪"/>
      <w:lvlJc w:val="left"/>
      <w:pPr>
        <w:tabs>
          <w:tab w:val="left" w:pos="176"/>
        </w:tabs>
        <w:ind w:left="593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C21214E"/>
    <w:multiLevelType w:val="hybridMultilevel"/>
    <w:tmpl w:val="C26C47E6"/>
    <w:styleLink w:val="Stileimportato5"/>
    <w:lvl w:ilvl="0" w:tplc="C06A143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8C5C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2888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8EAF5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F8D9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C45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A413C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26B4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3EA7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16D5278"/>
    <w:multiLevelType w:val="multilevel"/>
    <w:tmpl w:val="D45AFC5E"/>
    <w:name w:val="List Number 2__1"/>
    <w:lvl w:ilvl="0">
      <w:start w:val="1"/>
      <w:numFmt w:val="decimal"/>
      <w:pStyle w:val="Szmozottlista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04E2EB0"/>
    <w:multiLevelType w:val="hybridMultilevel"/>
    <w:tmpl w:val="8C7CEE22"/>
    <w:lvl w:ilvl="0" w:tplc="06BC9F84">
      <w:start w:val="1"/>
      <w:numFmt w:val="bullet"/>
      <w:lvlText w:val="•"/>
      <w:lvlJc w:val="left"/>
      <w:pPr>
        <w:ind w:left="176" w:hanging="176"/>
      </w:pPr>
      <w:rPr>
        <w:rFonts w:ascii="Georgia" w:hAnsi="Georgia"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AE86E">
      <w:start w:val="1"/>
      <w:numFmt w:val="bullet"/>
      <w:lvlText w:val="o"/>
      <w:lvlJc w:val="left"/>
      <w:pPr>
        <w:tabs>
          <w:tab w:val="left" w:pos="176"/>
        </w:tabs>
        <w:ind w:left="89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9A0DBC">
      <w:start w:val="1"/>
      <w:numFmt w:val="bullet"/>
      <w:lvlText w:val="▪"/>
      <w:lvlJc w:val="left"/>
      <w:pPr>
        <w:tabs>
          <w:tab w:val="left" w:pos="176"/>
        </w:tabs>
        <w:ind w:left="161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7453BA">
      <w:start w:val="1"/>
      <w:numFmt w:val="bullet"/>
      <w:lvlText w:val="·"/>
      <w:lvlJc w:val="left"/>
      <w:pPr>
        <w:tabs>
          <w:tab w:val="left" w:pos="176"/>
        </w:tabs>
        <w:ind w:left="2336" w:hanging="1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96AE5A">
      <w:start w:val="1"/>
      <w:numFmt w:val="bullet"/>
      <w:lvlText w:val="o"/>
      <w:lvlJc w:val="left"/>
      <w:pPr>
        <w:tabs>
          <w:tab w:val="left" w:pos="176"/>
        </w:tabs>
        <w:ind w:left="305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A2E66E">
      <w:start w:val="1"/>
      <w:numFmt w:val="bullet"/>
      <w:lvlText w:val="▪"/>
      <w:lvlJc w:val="left"/>
      <w:pPr>
        <w:tabs>
          <w:tab w:val="left" w:pos="176"/>
        </w:tabs>
        <w:ind w:left="377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58F04E">
      <w:start w:val="1"/>
      <w:numFmt w:val="bullet"/>
      <w:lvlText w:val="·"/>
      <w:lvlJc w:val="left"/>
      <w:pPr>
        <w:tabs>
          <w:tab w:val="left" w:pos="176"/>
        </w:tabs>
        <w:ind w:left="4496" w:hanging="1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745F66">
      <w:start w:val="1"/>
      <w:numFmt w:val="bullet"/>
      <w:lvlText w:val="o"/>
      <w:lvlJc w:val="left"/>
      <w:pPr>
        <w:tabs>
          <w:tab w:val="left" w:pos="176"/>
        </w:tabs>
        <w:ind w:left="521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C4C75E">
      <w:start w:val="1"/>
      <w:numFmt w:val="bullet"/>
      <w:lvlText w:val="▪"/>
      <w:lvlJc w:val="left"/>
      <w:pPr>
        <w:tabs>
          <w:tab w:val="left" w:pos="176"/>
        </w:tabs>
        <w:ind w:left="593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42A4AD9"/>
    <w:multiLevelType w:val="hybridMultilevel"/>
    <w:tmpl w:val="151E7B92"/>
    <w:lvl w:ilvl="0" w:tplc="B05C6E16">
      <w:numFmt w:val="bullet"/>
      <w:lvlText w:val="•"/>
      <w:lvlJc w:val="left"/>
      <w:pPr>
        <w:ind w:left="720" w:hanging="360"/>
      </w:pPr>
      <w:rPr>
        <w:rFonts w:ascii="Myriad Pro Light SemiCond" w:eastAsia="Myriad Pro Light SemiCond" w:hAnsi="Myriad Pro Light SemiCond" w:cs="Myriad Pro Light SemiCond" w:hint="default"/>
        <w:spacing w:val="-8"/>
        <w:w w:val="1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532A76"/>
    <w:multiLevelType w:val="hybridMultilevel"/>
    <w:tmpl w:val="770EBD92"/>
    <w:lvl w:ilvl="0" w:tplc="3ECC7F7E">
      <w:start w:val="1"/>
      <w:numFmt w:val="bullet"/>
      <w:lvlText w:val="·"/>
      <w:lvlJc w:val="left"/>
      <w:pPr>
        <w:tabs>
          <w:tab w:val="left" w:pos="720"/>
        </w:tabs>
        <w:ind w:left="3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E607FC">
      <w:start w:val="1"/>
      <w:numFmt w:val="bullet"/>
      <w:lvlText w:val="o"/>
      <w:lvlJc w:val="left"/>
      <w:pPr>
        <w:tabs>
          <w:tab w:val="left" w:pos="318"/>
          <w:tab w:val="left" w:pos="720"/>
        </w:tabs>
        <w:ind w:left="10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5E8922">
      <w:start w:val="1"/>
      <w:numFmt w:val="bullet"/>
      <w:lvlText w:val="▪"/>
      <w:lvlJc w:val="left"/>
      <w:pPr>
        <w:tabs>
          <w:tab w:val="left" w:pos="318"/>
          <w:tab w:val="left" w:pos="720"/>
        </w:tabs>
        <w:ind w:left="17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1657A0">
      <w:start w:val="1"/>
      <w:numFmt w:val="bullet"/>
      <w:lvlText w:val="·"/>
      <w:lvlJc w:val="left"/>
      <w:pPr>
        <w:tabs>
          <w:tab w:val="left" w:pos="318"/>
          <w:tab w:val="left" w:pos="720"/>
        </w:tabs>
        <w:ind w:left="24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341CBC">
      <w:start w:val="1"/>
      <w:numFmt w:val="bullet"/>
      <w:lvlText w:val="o"/>
      <w:lvlJc w:val="left"/>
      <w:pPr>
        <w:tabs>
          <w:tab w:val="left" w:pos="318"/>
          <w:tab w:val="left" w:pos="720"/>
        </w:tabs>
        <w:ind w:left="31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BA51A0">
      <w:start w:val="1"/>
      <w:numFmt w:val="bullet"/>
      <w:lvlText w:val="▪"/>
      <w:lvlJc w:val="left"/>
      <w:pPr>
        <w:tabs>
          <w:tab w:val="left" w:pos="318"/>
          <w:tab w:val="left" w:pos="720"/>
        </w:tabs>
        <w:ind w:left="39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3C25C2">
      <w:start w:val="1"/>
      <w:numFmt w:val="bullet"/>
      <w:lvlText w:val="·"/>
      <w:lvlJc w:val="left"/>
      <w:pPr>
        <w:tabs>
          <w:tab w:val="left" w:pos="318"/>
          <w:tab w:val="left" w:pos="720"/>
        </w:tabs>
        <w:ind w:left="46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4E2F14">
      <w:start w:val="1"/>
      <w:numFmt w:val="bullet"/>
      <w:lvlText w:val="o"/>
      <w:lvlJc w:val="left"/>
      <w:pPr>
        <w:tabs>
          <w:tab w:val="left" w:pos="318"/>
          <w:tab w:val="left" w:pos="720"/>
        </w:tabs>
        <w:ind w:left="53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0612F2">
      <w:start w:val="1"/>
      <w:numFmt w:val="bullet"/>
      <w:lvlText w:val="▪"/>
      <w:lvlJc w:val="left"/>
      <w:pPr>
        <w:tabs>
          <w:tab w:val="left" w:pos="318"/>
          <w:tab w:val="left" w:pos="720"/>
        </w:tabs>
        <w:ind w:left="60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8CF67C5"/>
    <w:multiLevelType w:val="hybridMultilevel"/>
    <w:tmpl w:val="4DD2C590"/>
    <w:numStyleLink w:val="Stileimportato7"/>
  </w:abstractNum>
  <w:abstractNum w:abstractNumId="14" w15:restartNumberingAfterBreak="0">
    <w:nsid w:val="5B9367DF"/>
    <w:multiLevelType w:val="hybridMultilevel"/>
    <w:tmpl w:val="5DBA2128"/>
    <w:lvl w:ilvl="0" w:tplc="3CC8359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176" w:hanging="1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B2A19C">
      <w:start w:val="1"/>
      <w:numFmt w:val="bullet"/>
      <w:lvlText w:val="o"/>
      <w:lvlJc w:val="left"/>
      <w:pPr>
        <w:tabs>
          <w:tab w:val="left" w:pos="176"/>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89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20659E">
      <w:start w:val="1"/>
      <w:numFmt w:val="bullet"/>
      <w:lvlText w:val="▪"/>
      <w:lvlJc w:val="left"/>
      <w:pPr>
        <w:tabs>
          <w:tab w:val="left" w:pos="176"/>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161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88700C">
      <w:start w:val="1"/>
      <w:numFmt w:val="bullet"/>
      <w:lvlText w:val="·"/>
      <w:lvlJc w:val="left"/>
      <w:pPr>
        <w:tabs>
          <w:tab w:val="left" w:pos="176"/>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2336" w:hanging="1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AE5D5E">
      <w:start w:val="1"/>
      <w:numFmt w:val="bullet"/>
      <w:lvlText w:val="o"/>
      <w:lvlJc w:val="left"/>
      <w:pPr>
        <w:tabs>
          <w:tab w:val="left" w:pos="176"/>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305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60CDA8">
      <w:start w:val="1"/>
      <w:numFmt w:val="bullet"/>
      <w:lvlText w:val="▪"/>
      <w:lvlJc w:val="left"/>
      <w:pPr>
        <w:tabs>
          <w:tab w:val="left" w:pos="176"/>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377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14D1FC">
      <w:start w:val="1"/>
      <w:numFmt w:val="bullet"/>
      <w:lvlText w:val="·"/>
      <w:lvlJc w:val="left"/>
      <w:pPr>
        <w:tabs>
          <w:tab w:val="left" w:pos="176"/>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4496" w:hanging="1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8A9988">
      <w:start w:val="1"/>
      <w:numFmt w:val="bullet"/>
      <w:lvlText w:val="o"/>
      <w:lvlJc w:val="left"/>
      <w:pPr>
        <w:tabs>
          <w:tab w:val="left" w:pos="176"/>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521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B26786">
      <w:start w:val="1"/>
      <w:numFmt w:val="bullet"/>
      <w:lvlText w:val="▪"/>
      <w:lvlJc w:val="left"/>
      <w:pPr>
        <w:tabs>
          <w:tab w:val="left" w:pos="176"/>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593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CED3F47"/>
    <w:multiLevelType w:val="hybridMultilevel"/>
    <w:tmpl w:val="97A05380"/>
    <w:styleLink w:val="Stileimportato2"/>
    <w:lvl w:ilvl="0" w:tplc="BCF2480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A486E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0E67A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7A5E76">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2C355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BE081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BC6D3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1C651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FA4C2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B8C21B3"/>
    <w:multiLevelType w:val="multilevel"/>
    <w:tmpl w:val="720C9A32"/>
    <w:styleLink w:val="Stileimportato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76" w:hanging="57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056" w:hanging="347"/>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2"/>
        </w:tabs>
        <w:ind w:left="2738" w:hanging="108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718" w:hanging="71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18" w:hanging="71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18" w:hanging="71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18" w:hanging="71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18" w:hanging="71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33D2F02"/>
    <w:multiLevelType w:val="hybridMultilevel"/>
    <w:tmpl w:val="C5ACCD14"/>
    <w:lvl w:ilvl="0" w:tplc="06BC9F84">
      <w:start w:val="1"/>
      <w:numFmt w:val="bullet"/>
      <w:lvlText w:val="•"/>
      <w:lvlJc w:val="left"/>
      <w:pPr>
        <w:tabs>
          <w:tab w:val="left" w:pos="720"/>
        </w:tabs>
        <w:ind w:left="318" w:hanging="284"/>
      </w:pPr>
      <w:rPr>
        <w:rFonts w:ascii="Georgia" w:hAnsi="Georgia" w:hint="default"/>
        <w:b w:val="0"/>
        <w:bCs w:val="0"/>
        <w:i w:val="0"/>
        <w:iCs w:val="0"/>
        <w:caps w:val="0"/>
        <w:smallCaps w:val="0"/>
        <w:strike w:val="0"/>
        <w:dstrike w:val="0"/>
        <w:color w:val="333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9CA1A4">
      <w:start w:val="1"/>
      <w:numFmt w:val="bullet"/>
      <w:lvlText w:val="o"/>
      <w:lvlJc w:val="left"/>
      <w:pPr>
        <w:tabs>
          <w:tab w:val="left" w:pos="318"/>
          <w:tab w:val="left" w:pos="720"/>
        </w:tabs>
        <w:ind w:left="284" w:hanging="284"/>
      </w:pPr>
      <w:rPr>
        <w:rFonts w:ascii="Arial Unicode MS" w:eastAsia="Arial Unicode MS" w:hAnsi="Arial Unicode MS" w:cs="Arial Unicode MS"/>
        <w:b w:val="0"/>
        <w:bCs w:val="0"/>
        <w:i w:val="0"/>
        <w:iCs w:val="0"/>
        <w:caps w:val="0"/>
        <w:smallCaps w:val="0"/>
        <w:strike w:val="0"/>
        <w:dstrike w:val="0"/>
        <w:color w:val="333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109354">
      <w:start w:val="1"/>
      <w:numFmt w:val="bullet"/>
      <w:lvlText w:val="▪"/>
      <w:lvlJc w:val="left"/>
      <w:pPr>
        <w:tabs>
          <w:tab w:val="left" w:pos="318"/>
          <w:tab w:val="left" w:pos="720"/>
        </w:tabs>
        <w:ind w:left="284" w:hanging="284"/>
      </w:pPr>
      <w:rPr>
        <w:rFonts w:ascii="Arial Unicode MS" w:eastAsia="Arial Unicode MS" w:hAnsi="Arial Unicode MS" w:cs="Arial Unicode MS"/>
        <w:b w:val="0"/>
        <w:bCs w:val="0"/>
        <w:i w:val="0"/>
        <w:iCs w:val="0"/>
        <w:caps w:val="0"/>
        <w:smallCaps w:val="0"/>
        <w:strike w:val="0"/>
        <w:dstrike w:val="0"/>
        <w:color w:val="333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44D394">
      <w:start w:val="1"/>
      <w:numFmt w:val="bullet"/>
      <w:lvlText w:val="·"/>
      <w:lvlJc w:val="left"/>
      <w:pPr>
        <w:tabs>
          <w:tab w:val="left" w:pos="318"/>
          <w:tab w:val="left" w:pos="720"/>
        </w:tabs>
        <w:ind w:left="284" w:hanging="284"/>
      </w:pPr>
      <w:rPr>
        <w:rFonts w:ascii="Symbol" w:eastAsia="Symbol" w:hAnsi="Symbol" w:cs="Symbol"/>
        <w:b w:val="0"/>
        <w:bCs w:val="0"/>
        <w:i w:val="0"/>
        <w:iCs w:val="0"/>
        <w:caps w:val="0"/>
        <w:smallCaps w:val="0"/>
        <w:strike w:val="0"/>
        <w:dstrike w:val="0"/>
        <w:color w:val="333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BE806C">
      <w:start w:val="1"/>
      <w:numFmt w:val="bullet"/>
      <w:lvlText w:val="o"/>
      <w:lvlJc w:val="left"/>
      <w:pPr>
        <w:tabs>
          <w:tab w:val="left" w:pos="318"/>
          <w:tab w:val="left" w:pos="720"/>
        </w:tabs>
        <w:ind w:left="284" w:hanging="284"/>
      </w:pPr>
      <w:rPr>
        <w:rFonts w:ascii="Arial Unicode MS" w:eastAsia="Arial Unicode MS" w:hAnsi="Arial Unicode MS" w:cs="Arial Unicode MS"/>
        <w:b w:val="0"/>
        <w:bCs w:val="0"/>
        <w:i w:val="0"/>
        <w:iCs w:val="0"/>
        <w:caps w:val="0"/>
        <w:smallCaps w:val="0"/>
        <w:strike w:val="0"/>
        <w:dstrike w:val="0"/>
        <w:color w:val="333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C2EE0C">
      <w:start w:val="1"/>
      <w:numFmt w:val="bullet"/>
      <w:lvlText w:val="▪"/>
      <w:lvlJc w:val="left"/>
      <w:pPr>
        <w:tabs>
          <w:tab w:val="left" w:pos="318"/>
          <w:tab w:val="left" w:pos="720"/>
        </w:tabs>
        <w:ind w:left="284" w:hanging="284"/>
      </w:pPr>
      <w:rPr>
        <w:rFonts w:ascii="Arial Unicode MS" w:eastAsia="Arial Unicode MS" w:hAnsi="Arial Unicode MS" w:cs="Arial Unicode MS"/>
        <w:b w:val="0"/>
        <w:bCs w:val="0"/>
        <w:i w:val="0"/>
        <w:iCs w:val="0"/>
        <w:caps w:val="0"/>
        <w:smallCaps w:val="0"/>
        <w:strike w:val="0"/>
        <w:dstrike w:val="0"/>
        <w:color w:val="333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B67DA4">
      <w:start w:val="1"/>
      <w:numFmt w:val="bullet"/>
      <w:lvlText w:val="·"/>
      <w:lvlJc w:val="left"/>
      <w:pPr>
        <w:tabs>
          <w:tab w:val="left" w:pos="318"/>
          <w:tab w:val="left" w:pos="720"/>
        </w:tabs>
        <w:ind w:left="284" w:hanging="284"/>
      </w:pPr>
      <w:rPr>
        <w:rFonts w:ascii="Symbol" w:eastAsia="Symbol" w:hAnsi="Symbol" w:cs="Symbol"/>
        <w:b w:val="0"/>
        <w:bCs w:val="0"/>
        <w:i w:val="0"/>
        <w:iCs w:val="0"/>
        <w:caps w:val="0"/>
        <w:smallCaps w:val="0"/>
        <w:strike w:val="0"/>
        <w:dstrike w:val="0"/>
        <w:color w:val="333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32D84A">
      <w:start w:val="1"/>
      <w:numFmt w:val="bullet"/>
      <w:lvlText w:val="o"/>
      <w:lvlJc w:val="left"/>
      <w:pPr>
        <w:tabs>
          <w:tab w:val="left" w:pos="318"/>
          <w:tab w:val="left" w:pos="720"/>
        </w:tabs>
        <w:ind w:left="646" w:hanging="284"/>
      </w:pPr>
      <w:rPr>
        <w:rFonts w:ascii="Arial Unicode MS" w:eastAsia="Arial Unicode MS" w:hAnsi="Arial Unicode MS" w:cs="Arial Unicode MS"/>
        <w:b w:val="0"/>
        <w:bCs w:val="0"/>
        <w:i w:val="0"/>
        <w:iCs w:val="0"/>
        <w:caps w:val="0"/>
        <w:smallCaps w:val="0"/>
        <w:strike w:val="0"/>
        <w:dstrike w:val="0"/>
        <w:color w:val="333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1EAE98">
      <w:start w:val="1"/>
      <w:numFmt w:val="bullet"/>
      <w:lvlText w:val="▪"/>
      <w:lvlJc w:val="left"/>
      <w:pPr>
        <w:tabs>
          <w:tab w:val="left" w:pos="318"/>
          <w:tab w:val="left" w:pos="720"/>
        </w:tabs>
        <w:ind w:left="1366" w:hanging="284"/>
      </w:pPr>
      <w:rPr>
        <w:rFonts w:ascii="Arial Unicode MS" w:eastAsia="Arial Unicode MS" w:hAnsi="Arial Unicode MS" w:cs="Arial Unicode MS"/>
        <w:b w:val="0"/>
        <w:bCs w:val="0"/>
        <w:i w:val="0"/>
        <w:iCs w:val="0"/>
        <w:caps w:val="0"/>
        <w:smallCaps w:val="0"/>
        <w:strike w:val="0"/>
        <w:dstrike w:val="0"/>
        <w:color w:val="333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A445B84"/>
    <w:multiLevelType w:val="multilevel"/>
    <w:tmpl w:val="720C9A32"/>
    <w:numStyleLink w:val="Stileimportato1"/>
  </w:abstractNum>
  <w:abstractNum w:abstractNumId="19" w15:restartNumberingAfterBreak="0">
    <w:nsid w:val="7F4667D7"/>
    <w:multiLevelType w:val="hybridMultilevel"/>
    <w:tmpl w:val="D81C41B2"/>
    <w:lvl w:ilvl="0" w:tplc="DDD6EDA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176" w:hanging="1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1C16DA">
      <w:start w:val="1"/>
      <w:numFmt w:val="bullet"/>
      <w:lvlText w:val="o"/>
      <w:lvlJc w:val="left"/>
      <w:pPr>
        <w:tabs>
          <w:tab w:val="left" w:pos="176"/>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89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9A15E2">
      <w:start w:val="1"/>
      <w:numFmt w:val="bullet"/>
      <w:lvlText w:val="▪"/>
      <w:lvlJc w:val="left"/>
      <w:pPr>
        <w:tabs>
          <w:tab w:val="left" w:pos="176"/>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161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20FC36">
      <w:start w:val="1"/>
      <w:numFmt w:val="bullet"/>
      <w:lvlText w:val="·"/>
      <w:lvlJc w:val="left"/>
      <w:pPr>
        <w:tabs>
          <w:tab w:val="left" w:pos="176"/>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2336" w:hanging="1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001E84">
      <w:start w:val="1"/>
      <w:numFmt w:val="bullet"/>
      <w:lvlText w:val="o"/>
      <w:lvlJc w:val="left"/>
      <w:pPr>
        <w:tabs>
          <w:tab w:val="left" w:pos="176"/>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305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E21BDA">
      <w:start w:val="1"/>
      <w:numFmt w:val="bullet"/>
      <w:lvlText w:val="▪"/>
      <w:lvlJc w:val="left"/>
      <w:pPr>
        <w:tabs>
          <w:tab w:val="left" w:pos="176"/>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377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160390">
      <w:start w:val="1"/>
      <w:numFmt w:val="bullet"/>
      <w:lvlText w:val="·"/>
      <w:lvlJc w:val="left"/>
      <w:pPr>
        <w:tabs>
          <w:tab w:val="left" w:pos="176"/>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4496" w:hanging="1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4C5564">
      <w:start w:val="1"/>
      <w:numFmt w:val="bullet"/>
      <w:lvlText w:val="o"/>
      <w:lvlJc w:val="left"/>
      <w:pPr>
        <w:tabs>
          <w:tab w:val="left" w:pos="176"/>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521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EC21EE">
      <w:start w:val="1"/>
      <w:numFmt w:val="bullet"/>
      <w:lvlText w:val="▪"/>
      <w:lvlJc w:val="left"/>
      <w:pPr>
        <w:tabs>
          <w:tab w:val="left" w:pos="176"/>
          <w:tab w:val="left" w:pos="1440"/>
          <w:tab w:val="left" w:pos="2160"/>
          <w:tab w:val="left" w:pos="2880"/>
          <w:tab w:val="left" w:pos="3600"/>
          <w:tab w:val="left" w:pos="4320"/>
          <w:tab w:val="left" w:pos="5040"/>
          <w:tab w:val="left" w:pos="5760"/>
          <w:tab w:val="left" w:pos="6480"/>
          <w:tab w:val="left" w:pos="7200"/>
          <w:tab w:val="left" w:pos="7920"/>
          <w:tab w:val="left" w:pos="8566"/>
          <w:tab w:val="left" w:pos="8566"/>
          <w:tab w:val="left" w:pos="8566"/>
          <w:tab w:val="left" w:pos="8566"/>
          <w:tab w:val="left" w:pos="8566"/>
          <w:tab w:val="left" w:pos="8566"/>
          <w:tab w:val="left" w:pos="8566"/>
          <w:tab w:val="left" w:pos="8566"/>
          <w:tab w:val="left" w:pos="8566"/>
        </w:tabs>
        <w:ind w:left="5936" w:hanging="1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6"/>
  </w:num>
  <w:num w:numId="2">
    <w:abstractNumId w:val="18"/>
  </w:num>
  <w:num w:numId="3">
    <w:abstractNumId w:val="15"/>
  </w:num>
  <w:num w:numId="4">
    <w:abstractNumId w:val="18"/>
    <w:lvlOverride w:ilvl="0">
      <w:startOverride w:val="2"/>
    </w:lvlOverride>
  </w:num>
  <w:num w:numId="5">
    <w:abstractNumId w:val="14"/>
  </w:num>
  <w:num w:numId="6">
    <w:abstractNumId w:val="19"/>
  </w:num>
  <w:num w:numId="7">
    <w:abstractNumId w:val="4"/>
  </w:num>
  <w:num w:numId="8">
    <w:abstractNumId w:val="7"/>
  </w:num>
  <w:num w:numId="9">
    <w:abstractNumId w:val="10"/>
  </w:num>
  <w:num w:numId="10">
    <w:abstractNumId w:val="17"/>
  </w:num>
  <w:num w:numId="11">
    <w:abstractNumId w:val="12"/>
  </w:num>
  <w:num w:numId="12">
    <w:abstractNumId w:val="1"/>
  </w:num>
  <w:num w:numId="13">
    <w:abstractNumId w:val="18"/>
    <w:lvlOverride w:ilvl="0">
      <w:startOverride w:val="3"/>
    </w:lvlOverride>
  </w:num>
  <w:num w:numId="14">
    <w:abstractNumId w:val="0"/>
  </w:num>
  <w:num w:numId="15">
    <w:abstractNumId w:val="13"/>
  </w:num>
  <w:num w:numId="16">
    <w:abstractNumId w:val="18"/>
    <w:lvlOverride w:ilvl="0">
      <w:startOverride w:val="4"/>
    </w:lvlOverride>
  </w:num>
  <w:num w:numId="17">
    <w:abstractNumId w:val="18"/>
    <w:lvlOverride w:ilvl="0">
      <w:startOverride w:val="5"/>
    </w:lvlOverride>
  </w:num>
  <w:num w:numId="18">
    <w:abstractNumId w:val="5"/>
  </w:num>
  <w:num w:numId="19">
    <w:abstractNumId w:val="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3"/>
  </w:num>
  <w:num w:numId="22">
    <w:abstractNumId w:val="11"/>
  </w:num>
  <w:num w:numId="23">
    <w:abstractNumId w:val="6"/>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E21A5"/>
    <w:rsid w:val="0000006B"/>
    <w:rsid w:val="00000D54"/>
    <w:rsid w:val="0000125B"/>
    <w:rsid w:val="00001299"/>
    <w:rsid w:val="00003190"/>
    <w:rsid w:val="00003F0D"/>
    <w:rsid w:val="000077ED"/>
    <w:rsid w:val="00010B91"/>
    <w:rsid w:val="0001227F"/>
    <w:rsid w:val="00013095"/>
    <w:rsid w:val="00016438"/>
    <w:rsid w:val="000203B8"/>
    <w:rsid w:val="000207FB"/>
    <w:rsid w:val="0002292F"/>
    <w:rsid w:val="00030942"/>
    <w:rsid w:val="00030F1A"/>
    <w:rsid w:val="000315C6"/>
    <w:rsid w:val="0003174D"/>
    <w:rsid w:val="00031B81"/>
    <w:rsid w:val="000324EE"/>
    <w:rsid w:val="00036607"/>
    <w:rsid w:val="00037E22"/>
    <w:rsid w:val="000404A1"/>
    <w:rsid w:val="00040D25"/>
    <w:rsid w:val="0004547B"/>
    <w:rsid w:val="00046A0E"/>
    <w:rsid w:val="00050F02"/>
    <w:rsid w:val="00051E62"/>
    <w:rsid w:val="000533F7"/>
    <w:rsid w:val="00056F69"/>
    <w:rsid w:val="00062CAD"/>
    <w:rsid w:val="00062E21"/>
    <w:rsid w:val="00071BE0"/>
    <w:rsid w:val="00072741"/>
    <w:rsid w:val="00072CBB"/>
    <w:rsid w:val="00073502"/>
    <w:rsid w:val="0007494A"/>
    <w:rsid w:val="00080F5E"/>
    <w:rsid w:val="00081033"/>
    <w:rsid w:val="00084CCE"/>
    <w:rsid w:val="00086580"/>
    <w:rsid w:val="00086938"/>
    <w:rsid w:val="00087F1B"/>
    <w:rsid w:val="000938CC"/>
    <w:rsid w:val="0009392A"/>
    <w:rsid w:val="00094A78"/>
    <w:rsid w:val="000A3A26"/>
    <w:rsid w:val="000A4A5F"/>
    <w:rsid w:val="000B0135"/>
    <w:rsid w:val="000B0CD2"/>
    <w:rsid w:val="000B19E4"/>
    <w:rsid w:val="000B529E"/>
    <w:rsid w:val="000B6967"/>
    <w:rsid w:val="000C4181"/>
    <w:rsid w:val="000C48DB"/>
    <w:rsid w:val="000C6339"/>
    <w:rsid w:val="000D0588"/>
    <w:rsid w:val="000D1336"/>
    <w:rsid w:val="000D569C"/>
    <w:rsid w:val="000E0826"/>
    <w:rsid w:val="000E11D8"/>
    <w:rsid w:val="000E19AB"/>
    <w:rsid w:val="000E29E7"/>
    <w:rsid w:val="000E5634"/>
    <w:rsid w:val="000F157B"/>
    <w:rsid w:val="000F1AE3"/>
    <w:rsid w:val="000F2078"/>
    <w:rsid w:val="000F596A"/>
    <w:rsid w:val="00100004"/>
    <w:rsid w:val="00102C53"/>
    <w:rsid w:val="00107049"/>
    <w:rsid w:val="0011255D"/>
    <w:rsid w:val="00112E67"/>
    <w:rsid w:val="001159EC"/>
    <w:rsid w:val="001212C2"/>
    <w:rsid w:val="00122824"/>
    <w:rsid w:val="00125494"/>
    <w:rsid w:val="00125F8D"/>
    <w:rsid w:val="00126C8C"/>
    <w:rsid w:val="00127C07"/>
    <w:rsid w:val="00140665"/>
    <w:rsid w:val="001407D2"/>
    <w:rsid w:val="00143A85"/>
    <w:rsid w:val="00144440"/>
    <w:rsid w:val="00144690"/>
    <w:rsid w:val="00144710"/>
    <w:rsid w:val="00153884"/>
    <w:rsid w:val="00154498"/>
    <w:rsid w:val="0016059B"/>
    <w:rsid w:val="0016158C"/>
    <w:rsid w:val="00162E8F"/>
    <w:rsid w:val="00163059"/>
    <w:rsid w:val="00167257"/>
    <w:rsid w:val="001730F6"/>
    <w:rsid w:val="00173D21"/>
    <w:rsid w:val="001753E0"/>
    <w:rsid w:val="00176CEA"/>
    <w:rsid w:val="00176D2D"/>
    <w:rsid w:val="00180EB8"/>
    <w:rsid w:val="00183AB7"/>
    <w:rsid w:val="001852F9"/>
    <w:rsid w:val="0018536B"/>
    <w:rsid w:val="00191DF1"/>
    <w:rsid w:val="0019409A"/>
    <w:rsid w:val="00197B26"/>
    <w:rsid w:val="001A03EA"/>
    <w:rsid w:val="001A1938"/>
    <w:rsid w:val="001A351F"/>
    <w:rsid w:val="001A4A9E"/>
    <w:rsid w:val="001A7F73"/>
    <w:rsid w:val="001B1570"/>
    <w:rsid w:val="001B2485"/>
    <w:rsid w:val="001B4655"/>
    <w:rsid w:val="001B5BC2"/>
    <w:rsid w:val="001C0996"/>
    <w:rsid w:val="001C1B42"/>
    <w:rsid w:val="001C3827"/>
    <w:rsid w:val="001C6192"/>
    <w:rsid w:val="001C6998"/>
    <w:rsid w:val="001D62B8"/>
    <w:rsid w:val="001D6F0C"/>
    <w:rsid w:val="001E69CE"/>
    <w:rsid w:val="001F697D"/>
    <w:rsid w:val="001F706D"/>
    <w:rsid w:val="00200BF6"/>
    <w:rsid w:val="002038AA"/>
    <w:rsid w:val="00207F91"/>
    <w:rsid w:val="00210A8B"/>
    <w:rsid w:val="00211C8B"/>
    <w:rsid w:val="00212975"/>
    <w:rsid w:val="00215A7A"/>
    <w:rsid w:val="002174FC"/>
    <w:rsid w:val="002175BA"/>
    <w:rsid w:val="00217C78"/>
    <w:rsid w:val="00223780"/>
    <w:rsid w:val="00223820"/>
    <w:rsid w:val="002271FF"/>
    <w:rsid w:val="00230CE3"/>
    <w:rsid w:val="0023175B"/>
    <w:rsid w:val="00231D5A"/>
    <w:rsid w:val="002325A6"/>
    <w:rsid w:val="00235532"/>
    <w:rsid w:val="00235E6E"/>
    <w:rsid w:val="00237513"/>
    <w:rsid w:val="0024094E"/>
    <w:rsid w:val="002438D3"/>
    <w:rsid w:val="00245CB3"/>
    <w:rsid w:val="002468E7"/>
    <w:rsid w:val="00250B43"/>
    <w:rsid w:val="0025161E"/>
    <w:rsid w:val="00251C4E"/>
    <w:rsid w:val="002521A9"/>
    <w:rsid w:val="002525BA"/>
    <w:rsid w:val="00255C72"/>
    <w:rsid w:val="0026089B"/>
    <w:rsid w:val="00261E52"/>
    <w:rsid w:val="0026774F"/>
    <w:rsid w:val="00271922"/>
    <w:rsid w:val="00274D17"/>
    <w:rsid w:val="002755DA"/>
    <w:rsid w:val="00291D4A"/>
    <w:rsid w:val="00292D4D"/>
    <w:rsid w:val="002949B0"/>
    <w:rsid w:val="00295D90"/>
    <w:rsid w:val="00296500"/>
    <w:rsid w:val="0029695E"/>
    <w:rsid w:val="002A0EF9"/>
    <w:rsid w:val="002A1370"/>
    <w:rsid w:val="002A17EA"/>
    <w:rsid w:val="002A3F67"/>
    <w:rsid w:val="002B3AAA"/>
    <w:rsid w:val="002B5ACF"/>
    <w:rsid w:val="002B5B3F"/>
    <w:rsid w:val="002B6B40"/>
    <w:rsid w:val="002B744E"/>
    <w:rsid w:val="002C00E1"/>
    <w:rsid w:val="002C25B7"/>
    <w:rsid w:val="002C34EA"/>
    <w:rsid w:val="002C452C"/>
    <w:rsid w:val="002C4706"/>
    <w:rsid w:val="002C4D79"/>
    <w:rsid w:val="002D05A7"/>
    <w:rsid w:val="002D1FFF"/>
    <w:rsid w:val="002D6FEE"/>
    <w:rsid w:val="002E07CD"/>
    <w:rsid w:val="002E0B68"/>
    <w:rsid w:val="002E189C"/>
    <w:rsid w:val="002E50FE"/>
    <w:rsid w:val="002F15D2"/>
    <w:rsid w:val="002F313A"/>
    <w:rsid w:val="002F55E3"/>
    <w:rsid w:val="002F597A"/>
    <w:rsid w:val="00300B9D"/>
    <w:rsid w:val="003015F9"/>
    <w:rsid w:val="003022C4"/>
    <w:rsid w:val="0031196F"/>
    <w:rsid w:val="00324BAD"/>
    <w:rsid w:val="003253E1"/>
    <w:rsid w:val="00326589"/>
    <w:rsid w:val="003312EA"/>
    <w:rsid w:val="00334662"/>
    <w:rsid w:val="003425B8"/>
    <w:rsid w:val="00342FA6"/>
    <w:rsid w:val="00345E3B"/>
    <w:rsid w:val="0035181A"/>
    <w:rsid w:val="00351AA1"/>
    <w:rsid w:val="00351F53"/>
    <w:rsid w:val="0035406D"/>
    <w:rsid w:val="00354E66"/>
    <w:rsid w:val="00355664"/>
    <w:rsid w:val="003556BE"/>
    <w:rsid w:val="00361D01"/>
    <w:rsid w:val="00364B91"/>
    <w:rsid w:val="00366C8C"/>
    <w:rsid w:val="003676A2"/>
    <w:rsid w:val="00367E0F"/>
    <w:rsid w:val="00377068"/>
    <w:rsid w:val="00385B47"/>
    <w:rsid w:val="00390B3A"/>
    <w:rsid w:val="003918B9"/>
    <w:rsid w:val="00391973"/>
    <w:rsid w:val="00391A3A"/>
    <w:rsid w:val="00392044"/>
    <w:rsid w:val="00392C75"/>
    <w:rsid w:val="00392D15"/>
    <w:rsid w:val="00393E94"/>
    <w:rsid w:val="003A422F"/>
    <w:rsid w:val="003B2F51"/>
    <w:rsid w:val="003B2F86"/>
    <w:rsid w:val="003B3BFA"/>
    <w:rsid w:val="003B3EF0"/>
    <w:rsid w:val="003B4185"/>
    <w:rsid w:val="003B5E1D"/>
    <w:rsid w:val="003C0AF5"/>
    <w:rsid w:val="003C20B2"/>
    <w:rsid w:val="003C2B38"/>
    <w:rsid w:val="003C2EF2"/>
    <w:rsid w:val="003C6AB2"/>
    <w:rsid w:val="003D1D00"/>
    <w:rsid w:val="003D40DC"/>
    <w:rsid w:val="003D4799"/>
    <w:rsid w:val="003D5436"/>
    <w:rsid w:val="003D7F82"/>
    <w:rsid w:val="003E1B10"/>
    <w:rsid w:val="003E3454"/>
    <w:rsid w:val="003E3721"/>
    <w:rsid w:val="003E380A"/>
    <w:rsid w:val="003E6FDF"/>
    <w:rsid w:val="003F1517"/>
    <w:rsid w:val="003F38C0"/>
    <w:rsid w:val="003F4C16"/>
    <w:rsid w:val="003F73F7"/>
    <w:rsid w:val="003F7442"/>
    <w:rsid w:val="00407748"/>
    <w:rsid w:val="00410F00"/>
    <w:rsid w:val="00412F8A"/>
    <w:rsid w:val="00413E3D"/>
    <w:rsid w:val="00415DE3"/>
    <w:rsid w:val="00416B7A"/>
    <w:rsid w:val="00421249"/>
    <w:rsid w:val="00423202"/>
    <w:rsid w:val="00423F60"/>
    <w:rsid w:val="0042610C"/>
    <w:rsid w:val="00426379"/>
    <w:rsid w:val="00427BDB"/>
    <w:rsid w:val="00427C43"/>
    <w:rsid w:val="00431189"/>
    <w:rsid w:val="004325FE"/>
    <w:rsid w:val="00434345"/>
    <w:rsid w:val="004359EC"/>
    <w:rsid w:val="00437723"/>
    <w:rsid w:val="004456BF"/>
    <w:rsid w:val="00451247"/>
    <w:rsid w:val="004514EF"/>
    <w:rsid w:val="00451D4D"/>
    <w:rsid w:val="00451D9F"/>
    <w:rsid w:val="00455377"/>
    <w:rsid w:val="00461224"/>
    <w:rsid w:val="00461582"/>
    <w:rsid w:val="00463371"/>
    <w:rsid w:val="00465324"/>
    <w:rsid w:val="00465EDB"/>
    <w:rsid w:val="004673FF"/>
    <w:rsid w:val="00470EBA"/>
    <w:rsid w:val="00471989"/>
    <w:rsid w:val="00474E65"/>
    <w:rsid w:val="004769DC"/>
    <w:rsid w:val="00476D8A"/>
    <w:rsid w:val="004803A8"/>
    <w:rsid w:val="00481872"/>
    <w:rsid w:val="0048417D"/>
    <w:rsid w:val="0048681F"/>
    <w:rsid w:val="00486E9B"/>
    <w:rsid w:val="00487685"/>
    <w:rsid w:val="004919F9"/>
    <w:rsid w:val="00493B27"/>
    <w:rsid w:val="004954CA"/>
    <w:rsid w:val="0049573F"/>
    <w:rsid w:val="00495C5A"/>
    <w:rsid w:val="004A4725"/>
    <w:rsid w:val="004A5333"/>
    <w:rsid w:val="004A5B11"/>
    <w:rsid w:val="004A7410"/>
    <w:rsid w:val="004B284F"/>
    <w:rsid w:val="004B3294"/>
    <w:rsid w:val="004B4CEB"/>
    <w:rsid w:val="004B5726"/>
    <w:rsid w:val="004B6B20"/>
    <w:rsid w:val="004B7A07"/>
    <w:rsid w:val="004C2DC7"/>
    <w:rsid w:val="004C4876"/>
    <w:rsid w:val="004C78FA"/>
    <w:rsid w:val="004C7E73"/>
    <w:rsid w:val="004D00DF"/>
    <w:rsid w:val="004D0FDA"/>
    <w:rsid w:val="004D157A"/>
    <w:rsid w:val="004D5AEB"/>
    <w:rsid w:val="004E62E5"/>
    <w:rsid w:val="004F518D"/>
    <w:rsid w:val="004F648F"/>
    <w:rsid w:val="004F64F4"/>
    <w:rsid w:val="0050047E"/>
    <w:rsid w:val="0050226D"/>
    <w:rsid w:val="005033FD"/>
    <w:rsid w:val="00504312"/>
    <w:rsid w:val="00506A49"/>
    <w:rsid w:val="005108F4"/>
    <w:rsid w:val="0051545B"/>
    <w:rsid w:val="00516907"/>
    <w:rsid w:val="0052269E"/>
    <w:rsid w:val="00531EC5"/>
    <w:rsid w:val="00546236"/>
    <w:rsid w:val="0055167A"/>
    <w:rsid w:val="00557CFF"/>
    <w:rsid w:val="00563C4D"/>
    <w:rsid w:val="00565E80"/>
    <w:rsid w:val="00571A7E"/>
    <w:rsid w:val="0057345B"/>
    <w:rsid w:val="00580601"/>
    <w:rsid w:val="00582B68"/>
    <w:rsid w:val="005831D1"/>
    <w:rsid w:val="005837DA"/>
    <w:rsid w:val="00583EF8"/>
    <w:rsid w:val="00586E06"/>
    <w:rsid w:val="00592700"/>
    <w:rsid w:val="00594EF9"/>
    <w:rsid w:val="005973E7"/>
    <w:rsid w:val="00597DB4"/>
    <w:rsid w:val="005A410E"/>
    <w:rsid w:val="005B0825"/>
    <w:rsid w:val="005B0BB9"/>
    <w:rsid w:val="005B3AA7"/>
    <w:rsid w:val="005C1DF7"/>
    <w:rsid w:val="005C3AB1"/>
    <w:rsid w:val="005C60C2"/>
    <w:rsid w:val="005C64B6"/>
    <w:rsid w:val="005D465D"/>
    <w:rsid w:val="005D5846"/>
    <w:rsid w:val="005D5E6E"/>
    <w:rsid w:val="005E1683"/>
    <w:rsid w:val="005E24A1"/>
    <w:rsid w:val="005E27BB"/>
    <w:rsid w:val="005E38D6"/>
    <w:rsid w:val="005F1568"/>
    <w:rsid w:val="005F1613"/>
    <w:rsid w:val="005F3564"/>
    <w:rsid w:val="005F72AD"/>
    <w:rsid w:val="00600ABC"/>
    <w:rsid w:val="00600BE8"/>
    <w:rsid w:val="006025CA"/>
    <w:rsid w:val="00603A4D"/>
    <w:rsid w:val="00612BF8"/>
    <w:rsid w:val="00614221"/>
    <w:rsid w:val="00614709"/>
    <w:rsid w:val="00614A6F"/>
    <w:rsid w:val="0061595B"/>
    <w:rsid w:val="00616319"/>
    <w:rsid w:val="006165B5"/>
    <w:rsid w:val="00624231"/>
    <w:rsid w:val="00625F69"/>
    <w:rsid w:val="00632ACC"/>
    <w:rsid w:val="00632D00"/>
    <w:rsid w:val="00632F9C"/>
    <w:rsid w:val="006341B6"/>
    <w:rsid w:val="00635DF4"/>
    <w:rsid w:val="006427DA"/>
    <w:rsid w:val="006431E3"/>
    <w:rsid w:val="00643BCF"/>
    <w:rsid w:val="00644E3F"/>
    <w:rsid w:val="00653762"/>
    <w:rsid w:val="006571EB"/>
    <w:rsid w:val="0066170B"/>
    <w:rsid w:val="006656AC"/>
    <w:rsid w:val="00665D00"/>
    <w:rsid w:val="00666198"/>
    <w:rsid w:val="0067687E"/>
    <w:rsid w:val="00676E4F"/>
    <w:rsid w:val="00677057"/>
    <w:rsid w:val="006830FE"/>
    <w:rsid w:val="00690A19"/>
    <w:rsid w:val="00690F05"/>
    <w:rsid w:val="00692CD0"/>
    <w:rsid w:val="00692D6C"/>
    <w:rsid w:val="006973C5"/>
    <w:rsid w:val="006A39D2"/>
    <w:rsid w:val="006A4795"/>
    <w:rsid w:val="006A5E18"/>
    <w:rsid w:val="006B6D6B"/>
    <w:rsid w:val="006B6FC9"/>
    <w:rsid w:val="006B7BB5"/>
    <w:rsid w:val="006D2B08"/>
    <w:rsid w:val="006D3316"/>
    <w:rsid w:val="006E2E03"/>
    <w:rsid w:val="006E33D3"/>
    <w:rsid w:val="006F1484"/>
    <w:rsid w:val="0070124F"/>
    <w:rsid w:val="0070169D"/>
    <w:rsid w:val="007036FF"/>
    <w:rsid w:val="007057F5"/>
    <w:rsid w:val="00711DAA"/>
    <w:rsid w:val="00716558"/>
    <w:rsid w:val="007172A5"/>
    <w:rsid w:val="00721D9A"/>
    <w:rsid w:val="0072210E"/>
    <w:rsid w:val="00727F4C"/>
    <w:rsid w:val="00732179"/>
    <w:rsid w:val="0073502C"/>
    <w:rsid w:val="00745EC8"/>
    <w:rsid w:val="00747F1E"/>
    <w:rsid w:val="007504C0"/>
    <w:rsid w:val="0075660D"/>
    <w:rsid w:val="00756AC6"/>
    <w:rsid w:val="0075774B"/>
    <w:rsid w:val="0076070A"/>
    <w:rsid w:val="007741C6"/>
    <w:rsid w:val="00774A7F"/>
    <w:rsid w:val="00781039"/>
    <w:rsid w:val="00783784"/>
    <w:rsid w:val="007900CE"/>
    <w:rsid w:val="007910D1"/>
    <w:rsid w:val="007911D9"/>
    <w:rsid w:val="00793E84"/>
    <w:rsid w:val="00797FDE"/>
    <w:rsid w:val="007A2F6F"/>
    <w:rsid w:val="007A7BE8"/>
    <w:rsid w:val="007B0B21"/>
    <w:rsid w:val="007B14F4"/>
    <w:rsid w:val="007C1010"/>
    <w:rsid w:val="007C1F0C"/>
    <w:rsid w:val="007C495A"/>
    <w:rsid w:val="007C7AA8"/>
    <w:rsid w:val="007D0FDD"/>
    <w:rsid w:val="007D71DF"/>
    <w:rsid w:val="007E11FB"/>
    <w:rsid w:val="007E17E5"/>
    <w:rsid w:val="007E31A5"/>
    <w:rsid w:val="007E368B"/>
    <w:rsid w:val="007E7388"/>
    <w:rsid w:val="007F1AE6"/>
    <w:rsid w:val="007F225D"/>
    <w:rsid w:val="007F4B61"/>
    <w:rsid w:val="007F7295"/>
    <w:rsid w:val="00801509"/>
    <w:rsid w:val="008127AA"/>
    <w:rsid w:val="00816D2C"/>
    <w:rsid w:val="00823B58"/>
    <w:rsid w:val="00824635"/>
    <w:rsid w:val="0083104B"/>
    <w:rsid w:val="0083277F"/>
    <w:rsid w:val="0084201E"/>
    <w:rsid w:val="00842EF5"/>
    <w:rsid w:val="00844118"/>
    <w:rsid w:val="0084439E"/>
    <w:rsid w:val="00846ECB"/>
    <w:rsid w:val="008471BE"/>
    <w:rsid w:val="00851239"/>
    <w:rsid w:val="00854544"/>
    <w:rsid w:val="0086113E"/>
    <w:rsid w:val="00863C7E"/>
    <w:rsid w:val="00865881"/>
    <w:rsid w:val="00870CEA"/>
    <w:rsid w:val="00871BB2"/>
    <w:rsid w:val="00876BD0"/>
    <w:rsid w:val="00876BE5"/>
    <w:rsid w:val="008803AC"/>
    <w:rsid w:val="00882807"/>
    <w:rsid w:val="0088295F"/>
    <w:rsid w:val="008902D6"/>
    <w:rsid w:val="00892D5C"/>
    <w:rsid w:val="00893E66"/>
    <w:rsid w:val="008955AE"/>
    <w:rsid w:val="00895CDD"/>
    <w:rsid w:val="008A0224"/>
    <w:rsid w:val="008A0774"/>
    <w:rsid w:val="008A0F35"/>
    <w:rsid w:val="008A3F71"/>
    <w:rsid w:val="008A5073"/>
    <w:rsid w:val="008A5A2A"/>
    <w:rsid w:val="008A6048"/>
    <w:rsid w:val="008A6FEB"/>
    <w:rsid w:val="008A7CB0"/>
    <w:rsid w:val="008A7F06"/>
    <w:rsid w:val="008B470D"/>
    <w:rsid w:val="008B5239"/>
    <w:rsid w:val="008B71D7"/>
    <w:rsid w:val="008C0C9C"/>
    <w:rsid w:val="008C1052"/>
    <w:rsid w:val="008C542B"/>
    <w:rsid w:val="008C7657"/>
    <w:rsid w:val="008D01D4"/>
    <w:rsid w:val="008D101C"/>
    <w:rsid w:val="008D2208"/>
    <w:rsid w:val="008D22C2"/>
    <w:rsid w:val="008D258E"/>
    <w:rsid w:val="008D6DDC"/>
    <w:rsid w:val="008E37A0"/>
    <w:rsid w:val="008E7096"/>
    <w:rsid w:val="008F09DB"/>
    <w:rsid w:val="008F1796"/>
    <w:rsid w:val="008F47D0"/>
    <w:rsid w:val="008F6281"/>
    <w:rsid w:val="008F735A"/>
    <w:rsid w:val="0090042B"/>
    <w:rsid w:val="00900B5E"/>
    <w:rsid w:val="00902845"/>
    <w:rsid w:val="00903D77"/>
    <w:rsid w:val="00907F86"/>
    <w:rsid w:val="009137AF"/>
    <w:rsid w:val="00913925"/>
    <w:rsid w:val="00915C92"/>
    <w:rsid w:val="00916411"/>
    <w:rsid w:val="00917A7B"/>
    <w:rsid w:val="00922B7D"/>
    <w:rsid w:val="00922BF1"/>
    <w:rsid w:val="009246B5"/>
    <w:rsid w:val="00927BDB"/>
    <w:rsid w:val="00930063"/>
    <w:rsid w:val="00932151"/>
    <w:rsid w:val="00933D14"/>
    <w:rsid w:val="009409F6"/>
    <w:rsid w:val="00943726"/>
    <w:rsid w:val="00946917"/>
    <w:rsid w:val="00950AE6"/>
    <w:rsid w:val="00950F68"/>
    <w:rsid w:val="00952AD5"/>
    <w:rsid w:val="00957301"/>
    <w:rsid w:val="00962209"/>
    <w:rsid w:val="00963939"/>
    <w:rsid w:val="009668AF"/>
    <w:rsid w:val="00973F2D"/>
    <w:rsid w:val="0097546E"/>
    <w:rsid w:val="00975B0F"/>
    <w:rsid w:val="009813B3"/>
    <w:rsid w:val="00983BFC"/>
    <w:rsid w:val="00990263"/>
    <w:rsid w:val="00990C0E"/>
    <w:rsid w:val="009910A5"/>
    <w:rsid w:val="00991B65"/>
    <w:rsid w:val="00996CFC"/>
    <w:rsid w:val="009A3F70"/>
    <w:rsid w:val="009A4909"/>
    <w:rsid w:val="009B13A4"/>
    <w:rsid w:val="009B1C5A"/>
    <w:rsid w:val="009B481E"/>
    <w:rsid w:val="009B64ED"/>
    <w:rsid w:val="009B7E02"/>
    <w:rsid w:val="009C0ED5"/>
    <w:rsid w:val="009C1A9A"/>
    <w:rsid w:val="009C2B59"/>
    <w:rsid w:val="009C50F1"/>
    <w:rsid w:val="009D0D81"/>
    <w:rsid w:val="009D4C8A"/>
    <w:rsid w:val="009D5334"/>
    <w:rsid w:val="009D7CC8"/>
    <w:rsid w:val="009E23CF"/>
    <w:rsid w:val="009E267E"/>
    <w:rsid w:val="009E33F0"/>
    <w:rsid w:val="009E36AB"/>
    <w:rsid w:val="009E61A1"/>
    <w:rsid w:val="009F1D31"/>
    <w:rsid w:val="009F26DF"/>
    <w:rsid w:val="009F3787"/>
    <w:rsid w:val="009F3B9C"/>
    <w:rsid w:val="009F7026"/>
    <w:rsid w:val="00A03750"/>
    <w:rsid w:val="00A10035"/>
    <w:rsid w:val="00A12BDE"/>
    <w:rsid w:val="00A14C9A"/>
    <w:rsid w:val="00A15C78"/>
    <w:rsid w:val="00A208CE"/>
    <w:rsid w:val="00A215C6"/>
    <w:rsid w:val="00A22221"/>
    <w:rsid w:val="00A27997"/>
    <w:rsid w:val="00A30153"/>
    <w:rsid w:val="00A30ABE"/>
    <w:rsid w:val="00A310B6"/>
    <w:rsid w:val="00A3403A"/>
    <w:rsid w:val="00A34C11"/>
    <w:rsid w:val="00A36873"/>
    <w:rsid w:val="00A400C9"/>
    <w:rsid w:val="00A403E5"/>
    <w:rsid w:val="00A40426"/>
    <w:rsid w:val="00A624DB"/>
    <w:rsid w:val="00A62F21"/>
    <w:rsid w:val="00A640F4"/>
    <w:rsid w:val="00A675FF"/>
    <w:rsid w:val="00A7336D"/>
    <w:rsid w:val="00A73B8C"/>
    <w:rsid w:val="00A74CDD"/>
    <w:rsid w:val="00A761E3"/>
    <w:rsid w:val="00A76E48"/>
    <w:rsid w:val="00A775FE"/>
    <w:rsid w:val="00A8159F"/>
    <w:rsid w:val="00A83516"/>
    <w:rsid w:val="00A8533E"/>
    <w:rsid w:val="00A87210"/>
    <w:rsid w:val="00A87712"/>
    <w:rsid w:val="00A91472"/>
    <w:rsid w:val="00A91A37"/>
    <w:rsid w:val="00A91DE6"/>
    <w:rsid w:val="00AA0A20"/>
    <w:rsid w:val="00AB17FF"/>
    <w:rsid w:val="00AC430A"/>
    <w:rsid w:val="00AC5D6F"/>
    <w:rsid w:val="00AC7A36"/>
    <w:rsid w:val="00AD1E30"/>
    <w:rsid w:val="00AD414C"/>
    <w:rsid w:val="00AE21A5"/>
    <w:rsid w:val="00AE3F05"/>
    <w:rsid w:val="00AE49D1"/>
    <w:rsid w:val="00AE66EF"/>
    <w:rsid w:val="00AE677E"/>
    <w:rsid w:val="00AF4871"/>
    <w:rsid w:val="00AF579F"/>
    <w:rsid w:val="00B0244C"/>
    <w:rsid w:val="00B10391"/>
    <w:rsid w:val="00B124D1"/>
    <w:rsid w:val="00B16D65"/>
    <w:rsid w:val="00B25AF4"/>
    <w:rsid w:val="00B32DB4"/>
    <w:rsid w:val="00B3643A"/>
    <w:rsid w:val="00B37755"/>
    <w:rsid w:val="00B425C8"/>
    <w:rsid w:val="00B45282"/>
    <w:rsid w:val="00B45C60"/>
    <w:rsid w:val="00B460C5"/>
    <w:rsid w:val="00B4686C"/>
    <w:rsid w:val="00B4741F"/>
    <w:rsid w:val="00B51BA4"/>
    <w:rsid w:val="00B55CF6"/>
    <w:rsid w:val="00B60082"/>
    <w:rsid w:val="00B60D52"/>
    <w:rsid w:val="00B61DAA"/>
    <w:rsid w:val="00B63478"/>
    <w:rsid w:val="00B65433"/>
    <w:rsid w:val="00B709A7"/>
    <w:rsid w:val="00B75B4D"/>
    <w:rsid w:val="00B76ECC"/>
    <w:rsid w:val="00B82F7D"/>
    <w:rsid w:val="00B83A6B"/>
    <w:rsid w:val="00B8446A"/>
    <w:rsid w:val="00B84D7D"/>
    <w:rsid w:val="00B85466"/>
    <w:rsid w:val="00B8681E"/>
    <w:rsid w:val="00B91DCE"/>
    <w:rsid w:val="00B91E2E"/>
    <w:rsid w:val="00B92056"/>
    <w:rsid w:val="00B926BC"/>
    <w:rsid w:val="00B92909"/>
    <w:rsid w:val="00B93153"/>
    <w:rsid w:val="00B93367"/>
    <w:rsid w:val="00B9523F"/>
    <w:rsid w:val="00BA0501"/>
    <w:rsid w:val="00BA10E0"/>
    <w:rsid w:val="00BA15C0"/>
    <w:rsid w:val="00BA22F4"/>
    <w:rsid w:val="00BC3A70"/>
    <w:rsid w:val="00BC3B66"/>
    <w:rsid w:val="00BC3DE5"/>
    <w:rsid w:val="00BD2B0D"/>
    <w:rsid w:val="00BD31DF"/>
    <w:rsid w:val="00BD3802"/>
    <w:rsid w:val="00BD3EE2"/>
    <w:rsid w:val="00BD63D0"/>
    <w:rsid w:val="00BE0638"/>
    <w:rsid w:val="00BE0D64"/>
    <w:rsid w:val="00BE107F"/>
    <w:rsid w:val="00BE5927"/>
    <w:rsid w:val="00BF10C8"/>
    <w:rsid w:val="00BF3163"/>
    <w:rsid w:val="00BF360E"/>
    <w:rsid w:val="00BF451B"/>
    <w:rsid w:val="00BF4A45"/>
    <w:rsid w:val="00BF5315"/>
    <w:rsid w:val="00BF7D8F"/>
    <w:rsid w:val="00C050E0"/>
    <w:rsid w:val="00C07CE3"/>
    <w:rsid w:val="00C13316"/>
    <w:rsid w:val="00C20F83"/>
    <w:rsid w:val="00C2184A"/>
    <w:rsid w:val="00C23FCA"/>
    <w:rsid w:val="00C24AC4"/>
    <w:rsid w:val="00C24EE2"/>
    <w:rsid w:val="00C27838"/>
    <w:rsid w:val="00C304EA"/>
    <w:rsid w:val="00C305F6"/>
    <w:rsid w:val="00C32E94"/>
    <w:rsid w:val="00C367CB"/>
    <w:rsid w:val="00C37BC1"/>
    <w:rsid w:val="00C435EF"/>
    <w:rsid w:val="00C455B7"/>
    <w:rsid w:val="00C46698"/>
    <w:rsid w:val="00C46987"/>
    <w:rsid w:val="00C53B5D"/>
    <w:rsid w:val="00C5444C"/>
    <w:rsid w:val="00C56C29"/>
    <w:rsid w:val="00C56C5C"/>
    <w:rsid w:val="00C57EF1"/>
    <w:rsid w:val="00C617DF"/>
    <w:rsid w:val="00C64BCF"/>
    <w:rsid w:val="00C66B84"/>
    <w:rsid w:val="00C710A1"/>
    <w:rsid w:val="00C71268"/>
    <w:rsid w:val="00C74647"/>
    <w:rsid w:val="00C77DAF"/>
    <w:rsid w:val="00C8037D"/>
    <w:rsid w:val="00C80587"/>
    <w:rsid w:val="00C80D2E"/>
    <w:rsid w:val="00C80EF7"/>
    <w:rsid w:val="00C814C6"/>
    <w:rsid w:val="00C83644"/>
    <w:rsid w:val="00C86471"/>
    <w:rsid w:val="00C939BB"/>
    <w:rsid w:val="00C97F1C"/>
    <w:rsid w:val="00CA1150"/>
    <w:rsid w:val="00CA1368"/>
    <w:rsid w:val="00CA2F16"/>
    <w:rsid w:val="00CA477D"/>
    <w:rsid w:val="00CA71B2"/>
    <w:rsid w:val="00CB240F"/>
    <w:rsid w:val="00CB64D7"/>
    <w:rsid w:val="00CB6BEF"/>
    <w:rsid w:val="00CC478E"/>
    <w:rsid w:val="00CC4A82"/>
    <w:rsid w:val="00CC5D68"/>
    <w:rsid w:val="00CC704C"/>
    <w:rsid w:val="00CD0442"/>
    <w:rsid w:val="00CD163F"/>
    <w:rsid w:val="00CD1ABA"/>
    <w:rsid w:val="00CD6E9E"/>
    <w:rsid w:val="00CD7AF6"/>
    <w:rsid w:val="00CE2B84"/>
    <w:rsid w:val="00CF1837"/>
    <w:rsid w:val="00CF2BB8"/>
    <w:rsid w:val="00CF67D9"/>
    <w:rsid w:val="00CF7F9D"/>
    <w:rsid w:val="00D07D98"/>
    <w:rsid w:val="00D07F0B"/>
    <w:rsid w:val="00D10D53"/>
    <w:rsid w:val="00D1426C"/>
    <w:rsid w:val="00D205AB"/>
    <w:rsid w:val="00D209D0"/>
    <w:rsid w:val="00D23C85"/>
    <w:rsid w:val="00D36293"/>
    <w:rsid w:val="00D42EF9"/>
    <w:rsid w:val="00D448DC"/>
    <w:rsid w:val="00D450D0"/>
    <w:rsid w:val="00D459CE"/>
    <w:rsid w:val="00D46CD2"/>
    <w:rsid w:val="00D50B97"/>
    <w:rsid w:val="00D54427"/>
    <w:rsid w:val="00D54AF1"/>
    <w:rsid w:val="00D566C2"/>
    <w:rsid w:val="00D60662"/>
    <w:rsid w:val="00D6429C"/>
    <w:rsid w:val="00D642B2"/>
    <w:rsid w:val="00D657E0"/>
    <w:rsid w:val="00D6780A"/>
    <w:rsid w:val="00D70D8E"/>
    <w:rsid w:val="00D72130"/>
    <w:rsid w:val="00D73EBF"/>
    <w:rsid w:val="00D772B2"/>
    <w:rsid w:val="00D77814"/>
    <w:rsid w:val="00D82AB8"/>
    <w:rsid w:val="00D9073B"/>
    <w:rsid w:val="00D92D38"/>
    <w:rsid w:val="00D9443F"/>
    <w:rsid w:val="00D94E37"/>
    <w:rsid w:val="00D956F0"/>
    <w:rsid w:val="00DA0881"/>
    <w:rsid w:val="00DA2D8A"/>
    <w:rsid w:val="00DA343E"/>
    <w:rsid w:val="00DA47ED"/>
    <w:rsid w:val="00DA5979"/>
    <w:rsid w:val="00DA59D0"/>
    <w:rsid w:val="00DB446D"/>
    <w:rsid w:val="00DB697F"/>
    <w:rsid w:val="00DB7E23"/>
    <w:rsid w:val="00DD1611"/>
    <w:rsid w:val="00DD301A"/>
    <w:rsid w:val="00DD4577"/>
    <w:rsid w:val="00DE0243"/>
    <w:rsid w:val="00DE4662"/>
    <w:rsid w:val="00DE5ADA"/>
    <w:rsid w:val="00DE5C3D"/>
    <w:rsid w:val="00DF01F5"/>
    <w:rsid w:val="00DF56E7"/>
    <w:rsid w:val="00DF7D72"/>
    <w:rsid w:val="00DF7DBD"/>
    <w:rsid w:val="00E00A3F"/>
    <w:rsid w:val="00E044E3"/>
    <w:rsid w:val="00E04DEA"/>
    <w:rsid w:val="00E07A9E"/>
    <w:rsid w:val="00E13FE8"/>
    <w:rsid w:val="00E1573F"/>
    <w:rsid w:val="00E20761"/>
    <w:rsid w:val="00E23A2D"/>
    <w:rsid w:val="00E2660B"/>
    <w:rsid w:val="00E273CF"/>
    <w:rsid w:val="00E3314A"/>
    <w:rsid w:val="00E34362"/>
    <w:rsid w:val="00E360A2"/>
    <w:rsid w:val="00E37F1F"/>
    <w:rsid w:val="00E412D1"/>
    <w:rsid w:val="00E42681"/>
    <w:rsid w:val="00E44878"/>
    <w:rsid w:val="00E44D12"/>
    <w:rsid w:val="00E463AF"/>
    <w:rsid w:val="00E47AD9"/>
    <w:rsid w:val="00E6105E"/>
    <w:rsid w:val="00E6161B"/>
    <w:rsid w:val="00E66D8E"/>
    <w:rsid w:val="00E67DBA"/>
    <w:rsid w:val="00E70B22"/>
    <w:rsid w:val="00E72CA1"/>
    <w:rsid w:val="00E76191"/>
    <w:rsid w:val="00E82484"/>
    <w:rsid w:val="00E84DAD"/>
    <w:rsid w:val="00E8599B"/>
    <w:rsid w:val="00E85EFF"/>
    <w:rsid w:val="00E87941"/>
    <w:rsid w:val="00E92378"/>
    <w:rsid w:val="00E951CC"/>
    <w:rsid w:val="00EA035C"/>
    <w:rsid w:val="00EA522D"/>
    <w:rsid w:val="00EA7862"/>
    <w:rsid w:val="00EB25A7"/>
    <w:rsid w:val="00EB2714"/>
    <w:rsid w:val="00EB5558"/>
    <w:rsid w:val="00EB6A75"/>
    <w:rsid w:val="00EC08CF"/>
    <w:rsid w:val="00EC1201"/>
    <w:rsid w:val="00EC17B2"/>
    <w:rsid w:val="00EC4F19"/>
    <w:rsid w:val="00EC56D1"/>
    <w:rsid w:val="00ED0D6B"/>
    <w:rsid w:val="00EE0687"/>
    <w:rsid w:val="00EE244B"/>
    <w:rsid w:val="00EE3AF1"/>
    <w:rsid w:val="00EE4D65"/>
    <w:rsid w:val="00EE6722"/>
    <w:rsid w:val="00EF1B8B"/>
    <w:rsid w:val="00EF386A"/>
    <w:rsid w:val="00EF788F"/>
    <w:rsid w:val="00F0061B"/>
    <w:rsid w:val="00F12A3C"/>
    <w:rsid w:val="00F13A7F"/>
    <w:rsid w:val="00F16E44"/>
    <w:rsid w:val="00F217CE"/>
    <w:rsid w:val="00F22E8B"/>
    <w:rsid w:val="00F23BDF"/>
    <w:rsid w:val="00F251CB"/>
    <w:rsid w:val="00F31078"/>
    <w:rsid w:val="00F321BE"/>
    <w:rsid w:val="00F33D7F"/>
    <w:rsid w:val="00F34687"/>
    <w:rsid w:val="00F4022B"/>
    <w:rsid w:val="00F4365E"/>
    <w:rsid w:val="00F4398C"/>
    <w:rsid w:val="00F44AAD"/>
    <w:rsid w:val="00F50118"/>
    <w:rsid w:val="00F61342"/>
    <w:rsid w:val="00F656FC"/>
    <w:rsid w:val="00F66F84"/>
    <w:rsid w:val="00F72B4F"/>
    <w:rsid w:val="00F86AF2"/>
    <w:rsid w:val="00F90459"/>
    <w:rsid w:val="00F913AD"/>
    <w:rsid w:val="00F92C9E"/>
    <w:rsid w:val="00F954FF"/>
    <w:rsid w:val="00F95686"/>
    <w:rsid w:val="00FA6A9A"/>
    <w:rsid w:val="00FB023F"/>
    <w:rsid w:val="00FB5121"/>
    <w:rsid w:val="00FC3713"/>
    <w:rsid w:val="00FD0715"/>
    <w:rsid w:val="00FD2526"/>
    <w:rsid w:val="00FD7945"/>
    <w:rsid w:val="00FE16A8"/>
    <w:rsid w:val="00FE47B1"/>
    <w:rsid w:val="00FE571F"/>
    <w:rsid w:val="00FE57FB"/>
    <w:rsid w:val="00FE7D0B"/>
    <w:rsid w:val="00FF1F3A"/>
    <w:rsid w:val="00FF3A16"/>
    <w:rsid w:val="00FF7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C772"/>
  <w15:docId w15:val="{BF2FB391-62B3-4795-82E6-4616F7A6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Pr>
      <w:sz w:val="24"/>
      <w:szCs w:val="24"/>
      <w:lang w:val="en-US" w:eastAsia="en-US"/>
    </w:rPr>
  </w:style>
  <w:style w:type="paragraph" w:styleId="Cmsor1">
    <w:name w:val="heading 1"/>
    <w:basedOn w:val="Szmozottlista"/>
    <w:next w:val="Text1"/>
    <w:link w:val="Cmsor1Char"/>
    <w:qFormat/>
    <w:rsid w:val="00B60082"/>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120"/>
      <w:jc w:val="both"/>
      <w:outlineLvl w:val="0"/>
    </w:pPr>
    <w:rPr>
      <w:rFonts w:eastAsia="Times New Roman"/>
      <w:b/>
      <w:bCs/>
      <w:smallCaps/>
      <w:szCs w:val="32"/>
      <w:bdr w:val="none" w:sz="0" w:space="0" w:color="auto"/>
      <w:lang w:val="en-GB"/>
    </w:rPr>
  </w:style>
  <w:style w:type="paragraph" w:styleId="Cmsor2">
    <w:name w:val="heading 2"/>
    <w:basedOn w:val="Szmozottlista"/>
    <w:next w:val="Text2"/>
    <w:link w:val="Cmsor2Char"/>
    <w:qFormat/>
    <w:rsid w:val="00B60082"/>
    <w:pPr>
      <w:keepNext/>
      <w:numPr>
        <w:ilvl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840"/>
      </w:tabs>
      <w:spacing w:before="120" w:after="120"/>
      <w:ind w:left="432" w:hanging="432"/>
      <w:jc w:val="both"/>
      <w:outlineLvl w:val="1"/>
    </w:pPr>
    <w:rPr>
      <w:rFonts w:eastAsia="Times New Roman"/>
      <w:b/>
      <w:bCs/>
      <w:iCs/>
      <w:szCs w:val="28"/>
      <w:bdr w:val="none" w:sz="0" w:space="0" w:color="auto"/>
      <w:lang w:val="en-GB"/>
    </w:rPr>
  </w:style>
  <w:style w:type="paragraph" w:styleId="Cmsor3">
    <w:name w:val="heading 3"/>
    <w:basedOn w:val="Norml"/>
    <w:next w:val="Norml"/>
    <w:link w:val="Cmsor3Char"/>
    <w:qFormat/>
    <w:rsid w:val="00B60082"/>
    <w:pPr>
      <w:keepNext/>
      <w:numPr>
        <w:ilvl w:val="2"/>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2"/>
    </w:pPr>
    <w:rPr>
      <w:rFonts w:eastAsia="Times New Roman"/>
      <w:bCs/>
      <w:i/>
      <w:szCs w:val="26"/>
      <w:bdr w:val="none" w:sz="0" w:space="0" w:color="auto"/>
      <w:lang w:val="en-GB"/>
    </w:rPr>
  </w:style>
  <w:style w:type="paragraph" w:styleId="Cmsor4">
    <w:name w:val="heading 4"/>
    <w:basedOn w:val="Norml"/>
    <w:next w:val="Norml"/>
    <w:link w:val="Cmsor4Char"/>
    <w:qFormat/>
    <w:rsid w:val="00B60082"/>
    <w:pPr>
      <w:keepNext/>
      <w:numPr>
        <w:ilvl w:val="3"/>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3"/>
    </w:pPr>
    <w:rPr>
      <w:rFonts w:eastAsia="Times New Roman"/>
      <w:bCs/>
      <w:szCs w:val="28"/>
      <w:bdr w:val="none" w:sz="0" w:space="0" w:color="auto"/>
      <w:lang w:val="en-GB"/>
    </w:rPr>
  </w:style>
  <w:style w:type="paragraph" w:styleId="Cmsor5">
    <w:name w:val="heading 5"/>
    <w:basedOn w:val="Norml"/>
    <w:next w:val="Norml"/>
    <w:link w:val="Cmsor5Char"/>
    <w:semiHidden/>
    <w:unhideWhenUsed/>
    <w:qFormat/>
    <w:rsid w:val="00B60082"/>
    <w:pPr>
      <w:numPr>
        <w:ilvl w:val="4"/>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ascii="Calibri" w:eastAsia="Times New Roman" w:hAnsi="Calibri"/>
      <w:b/>
      <w:bCs/>
      <w:i/>
      <w:iCs/>
      <w:sz w:val="26"/>
      <w:szCs w:val="26"/>
      <w:bdr w:val="none" w:sz="0" w:space="0" w:color="auto"/>
      <w:lang w:val="en-GB" w:eastAsia="en-GB"/>
    </w:rPr>
  </w:style>
  <w:style w:type="paragraph" w:styleId="Cmsor6">
    <w:name w:val="heading 6"/>
    <w:basedOn w:val="Norml"/>
    <w:next w:val="Norml"/>
    <w:link w:val="Cmsor6Char"/>
    <w:semiHidden/>
    <w:unhideWhenUsed/>
    <w:qFormat/>
    <w:rsid w:val="00B60082"/>
    <w:pPr>
      <w:numPr>
        <w:ilvl w:val="5"/>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5"/>
    </w:pPr>
    <w:rPr>
      <w:rFonts w:ascii="Calibri" w:eastAsia="Times New Roman" w:hAnsi="Calibri"/>
      <w:b/>
      <w:bCs/>
      <w:sz w:val="22"/>
      <w:szCs w:val="22"/>
      <w:bdr w:val="none" w:sz="0" w:space="0" w:color="auto"/>
      <w:lang w:val="en-GB" w:eastAsia="en-GB"/>
    </w:rPr>
  </w:style>
  <w:style w:type="paragraph" w:styleId="Cmsor7">
    <w:name w:val="heading 7"/>
    <w:basedOn w:val="Norml"/>
    <w:next w:val="Norml"/>
    <w:link w:val="Cmsor7Char"/>
    <w:semiHidden/>
    <w:unhideWhenUsed/>
    <w:qFormat/>
    <w:rsid w:val="00B60082"/>
    <w:pPr>
      <w:numPr>
        <w:ilvl w:val="6"/>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ascii="Calibri" w:eastAsia="Times New Roman" w:hAnsi="Calibri"/>
      <w:bdr w:val="none" w:sz="0" w:space="0" w:color="auto"/>
      <w:lang w:val="en-GB" w:eastAsia="en-GB"/>
    </w:rPr>
  </w:style>
  <w:style w:type="paragraph" w:styleId="Cmsor8">
    <w:name w:val="heading 8"/>
    <w:basedOn w:val="Norml"/>
    <w:next w:val="Norml"/>
    <w:link w:val="Cmsor8Char"/>
    <w:semiHidden/>
    <w:unhideWhenUsed/>
    <w:qFormat/>
    <w:rsid w:val="00B60082"/>
    <w:pPr>
      <w:numPr>
        <w:ilvl w:val="7"/>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rFonts w:ascii="Calibri" w:eastAsia="Times New Roman" w:hAnsi="Calibri"/>
      <w:i/>
      <w:iCs/>
      <w:bdr w:val="none" w:sz="0" w:space="0" w:color="auto"/>
      <w:lang w:val="en-GB" w:eastAsia="en-GB"/>
    </w:rPr>
  </w:style>
  <w:style w:type="paragraph" w:styleId="Cmsor9">
    <w:name w:val="heading 9"/>
    <w:basedOn w:val="Norml"/>
    <w:next w:val="Norml"/>
    <w:link w:val="Cmsor9Char"/>
    <w:semiHidden/>
    <w:unhideWhenUsed/>
    <w:qFormat/>
    <w:rsid w:val="00B60082"/>
    <w:pPr>
      <w:numPr>
        <w:ilvl w:val="8"/>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pPr>
    <w:rPr>
      <w:rFonts w:ascii="Cambria" w:eastAsia="Times New Roman" w:hAnsi="Cambria"/>
      <w:sz w:val="22"/>
      <w:szCs w:val="22"/>
      <w:bdr w:val="none" w:sz="0" w:space="0" w:color="auto"/>
      <w:lang w:val="en-GB" w:eastAsia="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u w:val="single"/>
    </w:r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styleId="llb">
    <w:name w:val="footer"/>
    <w:pPr>
      <w:tabs>
        <w:tab w:val="center" w:pos="4535"/>
        <w:tab w:val="right" w:pos="9071"/>
        <w:tab w:val="right" w:pos="9921"/>
      </w:tabs>
      <w:spacing w:before="360"/>
    </w:pPr>
    <w:rPr>
      <w:rFonts w:cs="Arial Unicode MS"/>
      <w:color w:val="000000"/>
      <w:sz w:val="24"/>
      <w:szCs w:val="24"/>
      <w:u w:color="000000"/>
      <w:lang w:val="en-US"/>
    </w:rPr>
  </w:style>
  <w:style w:type="paragraph" w:customStyle="1" w:styleId="Corpo">
    <w:name w:val="Corpo"/>
    <w:rPr>
      <w:rFonts w:eastAsia="Times New Roman"/>
      <w:color w:val="000000"/>
      <w:sz w:val="24"/>
      <w:szCs w:val="24"/>
      <w:u w:color="000000"/>
    </w:rPr>
  </w:style>
  <w:style w:type="paragraph" w:customStyle="1" w:styleId="Fichedinformationtitre">
    <w:name w:val="Fiche d'information titre"/>
    <w:next w:val="Corpo"/>
    <w:pPr>
      <w:spacing w:before="120" w:after="120"/>
      <w:jc w:val="center"/>
    </w:pPr>
    <w:rPr>
      <w:rFonts w:cs="Arial Unicode MS"/>
      <w:b/>
      <w:bCs/>
      <w:color w:val="000000"/>
      <w:sz w:val="24"/>
      <w:szCs w:val="24"/>
      <w:u w:val="single" w:color="000000"/>
      <w:lang w:val="en-US"/>
    </w:rPr>
  </w:style>
  <w:style w:type="paragraph" w:customStyle="1" w:styleId="Text1">
    <w:name w:val="Text 1"/>
    <w:pPr>
      <w:spacing w:before="120" w:after="120"/>
      <w:ind w:left="850"/>
      <w:jc w:val="both"/>
    </w:pPr>
    <w:rPr>
      <w:rFonts w:cs="Arial Unicode MS"/>
      <w:color w:val="000000"/>
      <w:sz w:val="24"/>
      <w:szCs w:val="24"/>
      <w:u w:color="000000"/>
      <w:lang w:val="en-US"/>
    </w:rPr>
  </w:style>
  <w:style w:type="paragraph" w:customStyle="1" w:styleId="Text2">
    <w:name w:val="Text 2"/>
    <w:pPr>
      <w:spacing w:before="120" w:after="120"/>
      <w:ind w:left="850"/>
      <w:jc w:val="both"/>
    </w:pPr>
    <w:rPr>
      <w:rFonts w:cs="Arial Unicode MS"/>
      <w:color w:val="000000"/>
      <w:sz w:val="24"/>
      <w:szCs w:val="24"/>
      <w:u w:color="000000"/>
      <w:lang w:val="en-US"/>
    </w:rPr>
  </w:style>
  <w:style w:type="paragraph" w:customStyle="1" w:styleId="Didefault">
    <w:name w:val="Di default"/>
    <w:rPr>
      <w:rFonts w:ascii="Helvetica Neue" w:eastAsia="Helvetica Neue" w:hAnsi="Helvetica Neue" w:cs="Helvetica Neue"/>
      <w:color w:val="000000"/>
      <w:sz w:val="22"/>
      <w:szCs w:val="22"/>
    </w:rPr>
  </w:style>
  <w:style w:type="paragraph" w:customStyle="1" w:styleId="Intestazione">
    <w:name w:val="Intestazione"/>
    <w:next w:val="Text1"/>
    <w:pPr>
      <w:keepNext/>
      <w:tabs>
        <w:tab w:val="left" w:pos="360"/>
      </w:tabs>
      <w:spacing w:before="360" w:after="120"/>
      <w:ind w:left="72" w:hanging="72"/>
      <w:jc w:val="both"/>
      <w:outlineLvl w:val="0"/>
    </w:pPr>
    <w:rPr>
      <w:rFonts w:eastAsia="Times New Roman"/>
      <w:b/>
      <w:bCs/>
      <w:smallCaps/>
      <w:color w:val="000000"/>
      <w:sz w:val="24"/>
      <w:szCs w:val="24"/>
      <w:u w:color="000000"/>
    </w:rPr>
  </w:style>
  <w:style w:type="numbering" w:customStyle="1" w:styleId="Stileimportato1">
    <w:name w:val="Stile importato 1"/>
    <w:pPr>
      <w:numPr>
        <w:numId w:val="1"/>
      </w:numPr>
    </w:pPr>
  </w:style>
  <w:style w:type="paragraph" w:customStyle="1" w:styleId="Intestazione2">
    <w:name w:val="Intestazione 2"/>
    <w:next w:val="Text2"/>
    <w:pPr>
      <w:keepNext/>
      <w:tabs>
        <w:tab w:val="left" w:pos="360"/>
        <w:tab w:val="left" w:pos="840"/>
      </w:tabs>
      <w:spacing w:before="120" w:after="120"/>
      <w:ind w:left="216" w:hanging="216"/>
      <w:jc w:val="both"/>
      <w:outlineLvl w:val="1"/>
    </w:pPr>
    <w:rPr>
      <w:rFonts w:cs="Arial Unicode MS"/>
      <w:b/>
      <w:bCs/>
      <w:color w:val="000000"/>
      <w:sz w:val="24"/>
      <w:szCs w:val="24"/>
      <w:u w:color="000000"/>
      <w:lang w:val="en-US"/>
    </w:rPr>
  </w:style>
  <w:style w:type="paragraph" w:styleId="Lbjegyzetszveg">
    <w:name w:val="footnote text"/>
    <w:aliases w:val="Footnote,Footnote Text Char1 Char,Footnote Text Char Char Char,Footnote Text Char1 Char Char Char,Footnote Text Char Char Char Char Char,Footnote Text Char1 Char1 Char,Footnote Text Char Char Char1 Char,single space,fn,ft,FOOTNOTE,o,ADB"/>
    <w:link w:val="LbjegyzetszvegChar"/>
    <w:uiPriority w:val="99"/>
    <w:pPr>
      <w:jc w:val="both"/>
    </w:pPr>
    <w:rPr>
      <w:rFonts w:eastAsia="Times New Roman"/>
      <w:color w:val="000000"/>
      <w:u w:color="000000"/>
      <w:lang w:val="en-US"/>
    </w:rPr>
  </w:style>
  <w:style w:type="numbering" w:customStyle="1" w:styleId="Stileimportato2">
    <w:name w:val="Stile importato 2"/>
    <w:pPr>
      <w:numPr>
        <w:numId w:val="3"/>
      </w:numPr>
    </w:pPr>
  </w:style>
  <w:style w:type="character" w:customStyle="1" w:styleId="Nessuno">
    <w:name w:val="Nessuno"/>
  </w:style>
  <w:style w:type="character" w:customStyle="1" w:styleId="Hyperlink0">
    <w:name w:val="Hyperlink.0"/>
    <w:basedOn w:val="Nessuno"/>
    <w:rPr>
      <w:sz w:val="16"/>
      <w:szCs w:val="16"/>
    </w:rPr>
  </w:style>
  <w:style w:type="paragraph" w:customStyle="1" w:styleId="ListNumber1">
    <w:name w:val="List Number 1"/>
    <w:pPr>
      <w:tabs>
        <w:tab w:val="left" w:pos="1560"/>
      </w:tabs>
      <w:spacing w:before="120" w:after="120"/>
      <w:jc w:val="both"/>
    </w:pPr>
    <w:rPr>
      <w:rFonts w:cs="Arial Unicode MS"/>
      <w:color w:val="000000"/>
      <w:sz w:val="24"/>
      <w:szCs w:val="24"/>
      <w:u w:color="000000"/>
      <w:lang w:val="en-US"/>
    </w:rPr>
  </w:style>
  <w:style w:type="numbering" w:customStyle="1" w:styleId="Stileimportato7">
    <w:name w:val="Stile importato 7"/>
    <w:pPr>
      <w:numPr>
        <w:numId w:val="14"/>
      </w:numPr>
    </w:pPr>
  </w:style>
  <w:style w:type="paragraph" w:styleId="Jegyzetszveg">
    <w:name w:val="annotation text"/>
    <w:link w:val="JegyzetszvegChar"/>
    <w:uiPriority w:val="99"/>
    <w:rPr>
      <w:rFonts w:cs="Arial Unicode MS"/>
      <w:color w:val="000000"/>
      <w:u w:color="000000"/>
      <w:lang w:val="en-US"/>
    </w:rPr>
  </w:style>
  <w:style w:type="paragraph" w:styleId="Kpalrs">
    <w:name w:val="caption"/>
    <w:next w:val="Corpo"/>
    <w:pPr>
      <w:spacing w:after="200"/>
    </w:pPr>
    <w:rPr>
      <w:rFonts w:ascii="Cambria" w:eastAsia="Cambria" w:hAnsi="Cambria" w:cs="Cambria"/>
      <w:b/>
      <w:bCs/>
      <w:color w:val="4F81BD"/>
      <w:sz w:val="18"/>
      <w:szCs w:val="18"/>
      <w:u w:color="4F81BD"/>
      <w:lang w:val="en-US"/>
    </w:rPr>
  </w:style>
  <w:style w:type="paragraph" w:customStyle="1" w:styleId="Intestazione3">
    <w:name w:val="Intestazione 3"/>
    <w:next w:val="Corpo"/>
    <w:pPr>
      <w:keepNext/>
      <w:spacing w:before="120" w:after="120"/>
      <w:jc w:val="both"/>
      <w:outlineLvl w:val="2"/>
    </w:pPr>
    <w:rPr>
      <w:rFonts w:cs="Arial Unicode MS"/>
      <w:i/>
      <w:iCs/>
      <w:color w:val="000000"/>
      <w:sz w:val="24"/>
      <w:szCs w:val="24"/>
      <w:u w:color="000000"/>
      <w:lang w:val="en-US"/>
    </w:rPr>
  </w:style>
  <w:style w:type="character" w:styleId="Jegyzethivatkozs">
    <w:name w:val="annotation reference"/>
    <w:basedOn w:val="Bekezdsalapbettpusa"/>
    <w:uiPriority w:val="99"/>
    <w:unhideWhenUsed/>
    <w:rPr>
      <w:sz w:val="16"/>
      <w:szCs w:val="16"/>
    </w:rPr>
  </w:style>
  <w:style w:type="paragraph" w:styleId="Buborkszveg">
    <w:name w:val="Balloon Text"/>
    <w:basedOn w:val="Norml"/>
    <w:link w:val="BuborkszvegChar"/>
    <w:uiPriority w:val="99"/>
    <w:semiHidden/>
    <w:unhideWhenUsed/>
    <w:rsid w:val="00DF7D72"/>
    <w:rPr>
      <w:rFonts w:ascii="Tahoma" w:hAnsi="Tahoma" w:cs="Tahoma"/>
      <w:sz w:val="16"/>
      <w:szCs w:val="16"/>
    </w:rPr>
  </w:style>
  <w:style w:type="character" w:customStyle="1" w:styleId="BuborkszvegChar">
    <w:name w:val="Buborékszöveg Char"/>
    <w:basedOn w:val="Bekezdsalapbettpusa"/>
    <w:link w:val="Buborkszveg"/>
    <w:uiPriority w:val="99"/>
    <w:semiHidden/>
    <w:rsid w:val="00DF7D72"/>
    <w:rPr>
      <w:rFonts w:ascii="Tahoma" w:hAnsi="Tahoma" w:cs="Tahoma"/>
      <w:sz w:val="16"/>
      <w:szCs w:val="16"/>
      <w:lang w:val="en-US" w:eastAsia="en-US"/>
    </w:rPr>
  </w:style>
  <w:style w:type="character" w:customStyle="1" w:styleId="Cmsor1Char">
    <w:name w:val="Címsor 1 Char"/>
    <w:basedOn w:val="Bekezdsalapbettpusa"/>
    <w:link w:val="Cmsor1"/>
    <w:uiPriority w:val="9"/>
    <w:rsid w:val="00B60082"/>
    <w:rPr>
      <w:rFonts w:eastAsia="Times New Roman"/>
      <w:b/>
      <w:bCs/>
      <w:smallCaps/>
      <w:sz w:val="24"/>
      <w:szCs w:val="32"/>
      <w:bdr w:val="none" w:sz="0" w:space="0" w:color="auto"/>
      <w:lang w:eastAsia="en-US"/>
    </w:rPr>
  </w:style>
  <w:style w:type="character" w:customStyle="1" w:styleId="Cmsor2Char">
    <w:name w:val="Címsor 2 Char"/>
    <w:basedOn w:val="Bekezdsalapbettpusa"/>
    <w:link w:val="Cmsor2"/>
    <w:rsid w:val="00B60082"/>
    <w:rPr>
      <w:rFonts w:eastAsia="Times New Roman"/>
      <w:b/>
      <w:bCs/>
      <w:iCs/>
      <w:sz w:val="24"/>
      <w:szCs w:val="28"/>
      <w:bdr w:val="none" w:sz="0" w:space="0" w:color="auto"/>
      <w:lang w:eastAsia="en-US"/>
    </w:rPr>
  </w:style>
  <w:style w:type="character" w:customStyle="1" w:styleId="Cmsor3Char">
    <w:name w:val="Címsor 3 Char"/>
    <w:basedOn w:val="Bekezdsalapbettpusa"/>
    <w:link w:val="Cmsor3"/>
    <w:rsid w:val="00B60082"/>
    <w:rPr>
      <w:rFonts w:eastAsia="Times New Roman"/>
      <w:bCs/>
      <w:i/>
      <w:sz w:val="24"/>
      <w:szCs w:val="26"/>
      <w:bdr w:val="none" w:sz="0" w:space="0" w:color="auto"/>
      <w:lang w:eastAsia="en-US"/>
    </w:rPr>
  </w:style>
  <w:style w:type="character" w:customStyle="1" w:styleId="Cmsor4Char">
    <w:name w:val="Címsor 4 Char"/>
    <w:basedOn w:val="Bekezdsalapbettpusa"/>
    <w:link w:val="Cmsor4"/>
    <w:rsid w:val="00B60082"/>
    <w:rPr>
      <w:rFonts w:eastAsia="Times New Roman"/>
      <w:bCs/>
      <w:sz w:val="24"/>
      <w:szCs w:val="28"/>
      <w:bdr w:val="none" w:sz="0" w:space="0" w:color="auto"/>
      <w:lang w:eastAsia="en-US"/>
    </w:rPr>
  </w:style>
  <w:style w:type="character" w:customStyle="1" w:styleId="Cmsor5Char">
    <w:name w:val="Címsor 5 Char"/>
    <w:basedOn w:val="Bekezdsalapbettpusa"/>
    <w:link w:val="Cmsor5"/>
    <w:semiHidden/>
    <w:rsid w:val="00B60082"/>
    <w:rPr>
      <w:rFonts w:ascii="Calibri" w:eastAsia="Times New Roman" w:hAnsi="Calibri"/>
      <w:b/>
      <w:bCs/>
      <w:i/>
      <w:iCs/>
      <w:sz w:val="26"/>
      <w:szCs w:val="26"/>
      <w:bdr w:val="none" w:sz="0" w:space="0" w:color="auto"/>
    </w:rPr>
  </w:style>
  <w:style w:type="character" w:customStyle="1" w:styleId="Cmsor6Char">
    <w:name w:val="Címsor 6 Char"/>
    <w:basedOn w:val="Bekezdsalapbettpusa"/>
    <w:link w:val="Cmsor6"/>
    <w:semiHidden/>
    <w:rsid w:val="00B60082"/>
    <w:rPr>
      <w:rFonts w:ascii="Calibri" w:eastAsia="Times New Roman" w:hAnsi="Calibri"/>
      <w:b/>
      <w:bCs/>
      <w:sz w:val="22"/>
      <w:szCs w:val="22"/>
      <w:bdr w:val="none" w:sz="0" w:space="0" w:color="auto"/>
    </w:rPr>
  </w:style>
  <w:style w:type="character" w:customStyle="1" w:styleId="Cmsor7Char">
    <w:name w:val="Címsor 7 Char"/>
    <w:basedOn w:val="Bekezdsalapbettpusa"/>
    <w:link w:val="Cmsor7"/>
    <w:semiHidden/>
    <w:rsid w:val="00B60082"/>
    <w:rPr>
      <w:rFonts w:ascii="Calibri" w:eastAsia="Times New Roman" w:hAnsi="Calibri"/>
      <w:sz w:val="24"/>
      <w:szCs w:val="24"/>
      <w:bdr w:val="none" w:sz="0" w:space="0" w:color="auto"/>
    </w:rPr>
  </w:style>
  <w:style w:type="character" w:customStyle="1" w:styleId="Cmsor8Char">
    <w:name w:val="Címsor 8 Char"/>
    <w:basedOn w:val="Bekezdsalapbettpusa"/>
    <w:link w:val="Cmsor8"/>
    <w:semiHidden/>
    <w:rsid w:val="00B60082"/>
    <w:rPr>
      <w:rFonts w:ascii="Calibri" w:eastAsia="Times New Roman" w:hAnsi="Calibri"/>
      <w:i/>
      <w:iCs/>
      <w:sz w:val="24"/>
      <w:szCs w:val="24"/>
      <w:bdr w:val="none" w:sz="0" w:space="0" w:color="auto"/>
    </w:rPr>
  </w:style>
  <w:style w:type="character" w:customStyle="1" w:styleId="Cmsor9Char">
    <w:name w:val="Címsor 9 Char"/>
    <w:basedOn w:val="Bekezdsalapbettpusa"/>
    <w:link w:val="Cmsor9"/>
    <w:semiHidden/>
    <w:rsid w:val="00B60082"/>
    <w:rPr>
      <w:rFonts w:ascii="Cambria" w:eastAsia="Times New Roman" w:hAnsi="Cambria"/>
      <w:sz w:val="22"/>
      <w:szCs w:val="22"/>
      <w:bdr w:val="none" w:sz="0" w:space="0" w:color="auto"/>
    </w:rPr>
  </w:style>
  <w:style w:type="paragraph" w:styleId="Szmozottlista">
    <w:name w:val="List Number"/>
    <w:basedOn w:val="Norml"/>
    <w:uiPriority w:val="99"/>
    <w:semiHidden/>
    <w:unhideWhenUsed/>
    <w:rsid w:val="00B60082"/>
    <w:pPr>
      <w:ind w:left="432" w:hanging="432"/>
      <w:contextualSpacing/>
    </w:pPr>
  </w:style>
  <w:style w:type="character" w:styleId="Kiemels">
    <w:name w:val="Emphasis"/>
    <w:qFormat/>
    <w:rsid w:val="00351AA1"/>
    <w:rPr>
      <w:i/>
      <w:iCs/>
    </w:rPr>
  </w:style>
  <w:style w:type="character" w:customStyle="1" w:styleId="LbjegyzetszvegChar">
    <w:name w:val="Lábjegyzetszöveg Char"/>
    <w:aliases w:val="Footnote Char,Footnote Text Char1 Char Char,Footnote Text Char Char Char Char,Footnote Text Char1 Char Char Char Char,Footnote Text Char Char Char Char Char Char,Footnote Text Char1 Char1 Char Char,single space Char,fn Char,ft Char"/>
    <w:link w:val="Lbjegyzetszveg"/>
    <w:uiPriority w:val="99"/>
    <w:rsid w:val="003C0AF5"/>
    <w:rPr>
      <w:rFonts w:eastAsia="Times New Roman"/>
      <w:color w:val="000000"/>
      <w:u w:color="000000"/>
      <w:lang w:val="en-US"/>
    </w:rPr>
  </w:style>
  <w:style w:type="character" w:styleId="Lbjegyzet-hivatkozs">
    <w:name w:val="footnote reference"/>
    <w:aliases w:val="ftref,ftref Char,BVI fnr Char,BVI fnr Car Char,Char Char Car Char,Char Char Char Char Char Char Char Char Char Char Char Char Char Char Char Char Char Char Char Char Car Char,16 Point Char, Char Char,BVI fnr,16 Point,fr,Ref"/>
    <w:link w:val="Char2"/>
    <w:uiPriority w:val="99"/>
    <w:qFormat/>
    <w:rsid w:val="003C0AF5"/>
    <w:rPr>
      <w:vertAlign w:val="superscript"/>
    </w:rPr>
  </w:style>
  <w:style w:type="paragraph" w:styleId="Szmozottlista2">
    <w:name w:val="List Number 2"/>
    <w:basedOn w:val="Norml"/>
    <w:unhideWhenUsed/>
    <w:rsid w:val="003C0AF5"/>
    <w:pPr>
      <w:numPr>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bdr w:val="none" w:sz="0" w:space="0" w:color="auto"/>
      <w:lang w:val="en-GB" w:eastAsia="de-DE"/>
    </w:rPr>
  </w:style>
  <w:style w:type="paragraph" w:customStyle="1" w:styleId="ListNumber2Level2">
    <w:name w:val="List Number 2 (Level 2)"/>
    <w:basedOn w:val="Text2"/>
    <w:rsid w:val="003C0AF5"/>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bdr w:val="none" w:sz="0" w:space="0" w:color="auto"/>
      <w:lang w:val="x-none" w:eastAsia="de-DE"/>
    </w:rPr>
  </w:style>
  <w:style w:type="paragraph" w:customStyle="1" w:styleId="ListNumber2Level3">
    <w:name w:val="List Number 2 (Level 3)"/>
    <w:basedOn w:val="Text2"/>
    <w:rsid w:val="003C0AF5"/>
    <w:pPr>
      <w:numPr>
        <w:ilvl w:val="2"/>
        <w:numId w:val="1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bdr w:val="none" w:sz="0" w:space="0" w:color="auto"/>
      <w:lang w:val="x-none" w:eastAsia="de-DE"/>
    </w:rPr>
  </w:style>
  <w:style w:type="paragraph" w:customStyle="1" w:styleId="ListNumber2Level4">
    <w:name w:val="List Number 2 (Level 4)"/>
    <w:basedOn w:val="Text2"/>
    <w:rsid w:val="003C0AF5"/>
    <w:pPr>
      <w:numPr>
        <w:ilvl w:val="3"/>
        <w:numId w:val="1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bdr w:val="none" w:sz="0" w:space="0" w:color="auto"/>
      <w:lang w:val="x-none" w:eastAsia="de-DE"/>
    </w:rPr>
  </w:style>
  <w:style w:type="paragraph" w:customStyle="1" w:styleId="Char2">
    <w:name w:val="Char2"/>
    <w:basedOn w:val="Norml"/>
    <w:link w:val="Lbjegyzet-hivatkozs"/>
    <w:uiPriority w:val="99"/>
    <w:rsid w:val="003C0AF5"/>
    <w:p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40" w:lineRule="exact"/>
    </w:pPr>
    <w:rPr>
      <w:sz w:val="20"/>
      <w:szCs w:val="20"/>
      <w:vertAlign w:val="superscript"/>
      <w:lang w:val="en-GB" w:eastAsia="en-GB"/>
    </w:rPr>
  </w:style>
  <w:style w:type="paragraph" w:styleId="Listaszerbekezds">
    <w:name w:val="List Paragraph"/>
    <w:basedOn w:val="Norml"/>
    <w:uiPriority w:val="34"/>
    <w:qFormat/>
    <w:rsid w:val="003C0AF5"/>
    <w:pPr>
      <w:ind w:left="720"/>
      <w:contextualSpacing/>
    </w:pPr>
  </w:style>
  <w:style w:type="paragraph" w:styleId="Megjegyzstrgya">
    <w:name w:val="annotation subject"/>
    <w:basedOn w:val="Jegyzetszveg"/>
    <w:next w:val="Jegyzetszveg"/>
    <w:link w:val="MegjegyzstrgyaChar"/>
    <w:uiPriority w:val="99"/>
    <w:semiHidden/>
    <w:unhideWhenUsed/>
    <w:rsid w:val="008F1796"/>
    <w:rPr>
      <w:rFonts w:cs="Times New Roman"/>
      <w:b/>
      <w:bCs/>
      <w:color w:val="auto"/>
      <w:lang w:eastAsia="en-US"/>
    </w:rPr>
  </w:style>
  <w:style w:type="character" w:customStyle="1" w:styleId="JegyzetszvegChar">
    <w:name w:val="Jegyzetszöveg Char"/>
    <w:basedOn w:val="Bekezdsalapbettpusa"/>
    <w:link w:val="Jegyzetszveg"/>
    <w:uiPriority w:val="99"/>
    <w:rsid w:val="008F1796"/>
    <w:rPr>
      <w:rFonts w:cs="Arial Unicode MS"/>
      <w:color w:val="000000"/>
      <w:u w:color="000000"/>
      <w:lang w:val="en-US"/>
    </w:rPr>
  </w:style>
  <w:style w:type="character" w:customStyle="1" w:styleId="MegjegyzstrgyaChar">
    <w:name w:val="Megjegyzés tárgya Char"/>
    <w:basedOn w:val="JegyzetszvegChar"/>
    <w:link w:val="Megjegyzstrgya"/>
    <w:uiPriority w:val="99"/>
    <w:semiHidden/>
    <w:rsid w:val="008F1796"/>
    <w:rPr>
      <w:rFonts w:cs="Arial Unicode MS"/>
      <w:b/>
      <w:bCs/>
      <w:color w:val="000000"/>
      <w:u w:color="000000"/>
      <w:lang w:val="en-US" w:eastAsia="en-US"/>
    </w:rPr>
  </w:style>
  <w:style w:type="numbering" w:customStyle="1" w:styleId="Stileimportato5">
    <w:name w:val="Stile importato 5"/>
    <w:rsid w:val="00FC3713"/>
    <w:pPr>
      <w:numPr>
        <w:numId w:val="20"/>
      </w:numPr>
    </w:pPr>
  </w:style>
  <w:style w:type="character" w:customStyle="1" w:styleId="fontstyle01">
    <w:name w:val="fontstyle01"/>
    <w:basedOn w:val="Bekezdsalapbettpusa"/>
    <w:rsid w:val="004B284F"/>
    <w:rPr>
      <w:rFonts w:ascii="TimesNewRomanPSMT" w:hAnsi="TimesNewRomanPSMT" w:hint="default"/>
      <w:b w:val="0"/>
      <w:bCs w:val="0"/>
      <w:i w:val="0"/>
      <w:iCs w:val="0"/>
      <w:color w:val="000000"/>
      <w:sz w:val="24"/>
      <w:szCs w:val="24"/>
    </w:rPr>
  </w:style>
  <w:style w:type="character" w:customStyle="1" w:styleId="Feloldatlanmegemlts1">
    <w:name w:val="Feloldatlan megemlítés1"/>
    <w:basedOn w:val="Bekezdsalapbettpusa"/>
    <w:uiPriority w:val="99"/>
    <w:semiHidden/>
    <w:unhideWhenUsed/>
    <w:rsid w:val="00727F4C"/>
    <w:rPr>
      <w:color w:val="605E5C"/>
      <w:shd w:val="clear" w:color="auto" w:fill="E1DFDD"/>
    </w:rPr>
  </w:style>
  <w:style w:type="paragraph" w:styleId="Vltozat">
    <w:name w:val="Revision"/>
    <w:hidden/>
    <w:uiPriority w:val="99"/>
    <w:semiHidden/>
    <w:rsid w:val="0014471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Feloldatlanmegemlts2">
    <w:name w:val="Feloldatlan megemlítés2"/>
    <w:basedOn w:val="Bekezdsalapbettpusa"/>
    <w:uiPriority w:val="99"/>
    <w:semiHidden/>
    <w:unhideWhenUsed/>
    <w:rsid w:val="00FF1F3A"/>
    <w:rPr>
      <w:color w:val="605E5C"/>
      <w:shd w:val="clear" w:color="auto" w:fill="E1DFDD"/>
    </w:rPr>
  </w:style>
  <w:style w:type="paragraph" w:styleId="Cm">
    <w:name w:val="Title"/>
    <w:basedOn w:val="Norml"/>
    <w:next w:val="Norml"/>
    <w:link w:val="CmChar"/>
    <w:uiPriority w:val="10"/>
    <w:qFormat/>
    <w:rsid w:val="006571EB"/>
    <w:pPr>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571EB"/>
    <w:rPr>
      <w:rFonts w:asciiTheme="majorHAnsi" w:eastAsiaTheme="majorEastAsia" w:hAnsiTheme="majorHAnsi" w:cstheme="majorBidi"/>
      <w:spacing w:val="-10"/>
      <w:kern w:val="28"/>
      <w:sz w:val="56"/>
      <w:szCs w:val="56"/>
      <w:lang w:val="en-US" w:eastAsia="en-US"/>
    </w:rPr>
  </w:style>
  <w:style w:type="character" w:customStyle="1" w:styleId="Feloldatlanmegemlts3">
    <w:name w:val="Feloldatlan megemlítés3"/>
    <w:basedOn w:val="Bekezdsalapbettpusa"/>
    <w:uiPriority w:val="99"/>
    <w:semiHidden/>
    <w:unhideWhenUsed/>
    <w:rsid w:val="00E04DEA"/>
    <w:rPr>
      <w:color w:val="605E5C"/>
      <w:shd w:val="clear" w:color="auto" w:fill="E1DFDD"/>
    </w:rPr>
  </w:style>
  <w:style w:type="paragraph" w:styleId="lfej">
    <w:name w:val="header"/>
    <w:basedOn w:val="Norml"/>
    <w:link w:val="lfejChar"/>
    <w:uiPriority w:val="99"/>
    <w:unhideWhenUsed/>
    <w:rsid w:val="00427BDB"/>
    <w:pPr>
      <w:tabs>
        <w:tab w:val="center" w:pos="4536"/>
        <w:tab w:val="right" w:pos="9072"/>
      </w:tabs>
    </w:pPr>
  </w:style>
  <w:style w:type="character" w:customStyle="1" w:styleId="lfejChar">
    <w:name w:val="Élőfej Char"/>
    <w:basedOn w:val="Bekezdsalapbettpusa"/>
    <w:link w:val="lfej"/>
    <w:uiPriority w:val="99"/>
    <w:rsid w:val="00427BDB"/>
    <w:rPr>
      <w:sz w:val="24"/>
      <w:szCs w:val="24"/>
      <w:lang w:val="en-US" w:eastAsia="en-US"/>
    </w:rPr>
  </w:style>
  <w:style w:type="table" w:styleId="Rcsostblzat">
    <w:name w:val="Table Grid"/>
    <w:basedOn w:val="Normltblzat"/>
    <w:uiPriority w:val="59"/>
    <w:rsid w:val="00760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1">
    <w:name w:val="En-tête #1"/>
    <w:uiPriority w:val="99"/>
    <w:rsid w:val="0088295F"/>
    <w:rPr>
      <w:rFonts w:cs="Times New Roman"/>
      <w:b/>
      <w:bCs/>
      <w:sz w:val="23"/>
      <w:szCs w:val="23"/>
      <w:u w:val="single"/>
    </w:rPr>
  </w:style>
  <w:style w:type="character" w:styleId="Feloldatlanmegemlts">
    <w:name w:val="Unresolved Mention"/>
    <w:basedOn w:val="Bekezdsalapbettpusa"/>
    <w:uiPriority w:val="99"/>
    <w:semiHidden/>
    <w:unhideWhenUsed/>
    <w:rsid w:val="00FE16A8"/>
    <w:rPr>
      <w:color w:val="605E5C"/>
      <w:shd w:val="clear" w:color="auto" w:fill="E1DFDD"/>
    </w:rPr>
  </w:style>
  <w:style w:type="paragraph" w:styleId="NormlWeb">
    <w:name w:val="Normal (Web)"/>
    <w:basedOn w:val="Norml"/>
    <w:uiPriority w:val="99"/>
    <w:semiHidden/>
    <w:unhideWhenUsed/>
    <w:rsid w:val="00B926BC"/>
  </w:style>
  <w:style w:type="character" w:styleId="Mrltotthiperhivatkozs">
    <w:name w:val="FollowedHyperlink"/>
    <w:basedOn w:val="Bekezdsalapbettpusa"/>
    <w:uiPriority w:val="99"/>
    <w:semiHidden/>
    <w:unhideWhenUsed/>
    <w:rsid w:val="00DE5C3D"/>
    <w:rPr>
      <w:color w:val="FF00FF" w:themeColor="followedHyperlink"/>
      <w:u w:val="single"/>
    </w:rPr>
  </w:style>
  <w:style w:type="paragraph" w:styleId="Szvegtrzs">
    <w:name w:val="Body Text"/>
    <w:basedOn w:val="Norml"/>
    <w:link w:val="SzvegtrzsChar"/>
    <w:uiPriority w:val="99"/>
    <w:semiHidden/>
    <w:unhideWhenUsed/>
    <w:rsid w:val="000F157B"/>
    <w:pPr>
      <w:spacing w:after="120"/>
    </w:pPr>
  </w:style>
  <w:style w:type="character" w:customStyle="1" w:styleId="SzvegtrzsChar">
    <w:name w:val="Szövegtörzs Char"/>
    <w:basedOn w:val="Bekezdsalapbettpusa"/>
    <w:link w:val="Szvegtrzs"/>
    <w:uiPriority w:val="99"/>
    <w:semiHidden/>
    <w:rsid w:val="000F157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4462">
      <w:bodyDiv w:val="1"/>
      <w:marLeft w:val="0"/>
      <w:marRight w:val="0"/>
      <w:marTop w:val="0"/>
      <w:marBottom w:val="0"/>
      <w:divBdr>
        <w:top w:val="none" w:sz="0" w:space="0" w:color="auto"/>
        <w:left w:val="none" w:sz="0" w:space="0" w:color="auto"/>
        <w:bottom w:val="none" w:sz="0" w:space="0" w:color="auto"/>
        <w:right w:val="none" w:sz="0" w:space="0" w:color="auto"/>
      </w:divBdr>
    </w:div>
    <w:div w:id="76244450">
      <w:bodyDiv w:val="1"/>
      <w:marLeft w:val="0"/>
      <w:marRight w:val="0"/>
      <w:marTop w:val="0"/>
      <w:marBottom w:val="0"/>
      <w:divBdr>
        <w:top w:val="none" w:sz="0" w:space="0" w:color="auto"/>
        <w:left w:val="none" w:sz="0" w:space="0" w:color="auto"/>
        <w:bottom w:val="none" w:sz="0" w:space="0" w:color="auto"/>
        <w:right w:val="none" w:sz="0" w:space="0" w:color="auto"/>
      </w:divBdr>
    </w:div>
    <w:div w:id="105582607">
      <w:bodyDiv w:val="1"/>
      <w:marLeft w:val="0"/>
      <w:marRight w:val="0"/>
      <w:marTop w:val="0"/>
      <w:marBottom w:val="0"/>
      <w:divBdr>
        <w:top w:val="none" w:sz="0" w:space="0" w:color="auto"/>
        <w:left w:val="none" w:sz="0" w:space="0" w:color="auto"/>
        <w:bottom w:val="none" w:sz="0" w:space="0" w:color="auto"/>
        <w:right w:val="none" w:sz="0" w:space="0" w:color="auto"/>
      </w:divBdr>
      <w:divsChild>
        <w:div w:id="414135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59160">
      <w:bodyDiv w:val="1"/>
      <w:marLeft w:val="0"/>
      <w:marRight w:val="0"/>
      <w:marTop w:val="0"/>
      <w:marBottom w:val="0"/>
      <w:divBdr>
        <w:top w:val="none" w:sz="0" w:space="0" w:color="auto"/>
        <w:left w:val="none" w:sz="0" w:space="0" w:color="auto"/>
        <w:bottom w:val="none" w:sz="0" w:space="0" w:color="auto"/>
        <w:right w:val="none" w:sz="0" w:space="0" w:color="auto"/>
      </w:divBdr>
    </w:div>
    <w:div w:id="307520946">
      <w:bodyDiv w:val="1"/>
      <w:marLeft w:val="0"/>
      <w:marRight w:val="0"/>
      <w:marTop w:val="0"/>
      <w:marBottom w:val="0"/>
      <w:divBdr>
        <w:top w:val="none" w:sz="0" w:space="0" w:color="auto"/>
        <w:left w:val="none" w:sz="0" w:space="0" w:color="auto"/>
        <w:bottom w:val="none" w:sz="0" w:space="0" w:color="auto"/>
        <w:right w:val="none" w:sz="0" w:space="0" w:color="auto"/>
      </w:divBdr>
      <w:divsChild>
        <w:div w:id="985864035">
          <w:marLeft w:val="0"/>
          <w:marRight w:val="0"/>
          <w:marTop w:val="0"/>
          <w:marBottom w:val="0"/>
          <w:divBdr>
            <w:top w:val="none" w:sz="0" w:space="0" w:color="auto"/>
            <w:left w:val="none" w:sz="0" w:space="0" w:color="auto"/>
            <w:bottom w:val="none" w:sz="0" w:space="0" w:color="auto"/>
            <w:right w:val="none" w:sz="0" w:space="0" w:color="auto"/>
          </w:divBdr>
        </w:div>
        <w:div w:id="1056509394">
          <w:marLeft w:val="0"/>
          <w:marRight w:val="0"/>
          <w:marTop w:val="0"/>
          <w:marBottom w:val="0"/>
          <w:divBdr>
            <w:top w:val="none" w:sz="0" w:space="0" w:color="auto"/>
            <w:left w:val="none" w:sz="0" w:space="0" w:color="auto"/>
            <w:bottom w:val="none" w:sz="0" w:space="0" w:color="auto"/>
            <w:right w:val="none" w:sz="0" w:space="0" w:color="auto"/>
          </w:divBdr>
        </w:div>
        <w:div w:id="757865078">
          <w:marLeft w:val="0"/>
          <w:marRight w:val="0"/>
          <w:marTop w:val="0"/>
          <w:marBottom w:val="0"/>
          <w:divBdr>
            <w:top w:val="none" w:sz="0" w:space="0" w:color="auto"/>
            <w:left w:val="none" w:sz="0" w:space="0" w:color="auto"/>
            <w:bottom w:val="none" w:sz="0" w:space="0" w:color="auto"/>
            <w:right w:val="none" w:sz="0" w:space="0" w:color="auto"/>
          </w:divBdr>
        </w:div>
        <w:div w:id="1121343911">
          <w:marLeft w:val="0"/>
          <w:marRight w:val="0"/>
          <w:marTop w:val="0"/>
          <w:marBottom w:val="0"/>
          <w:divBdr>
            <w:top w:val="none" w:sz="0" w:space="0" w:color="auto"/>
            <w:left w:val="none" w:sz="0" w:space="0" w:color="auto"/>
            <w:bottom w:val="none" w:sz="0" w:space="0" w:color="auto"/>
            <w:right w:val="none" w:sz="0" w:space="0" w:color="auto"/>
          </w:divBdr>
        </w:div>
        <w:div w:id="1886792751">
          <w:marLeft w:val="0"/>
          <w:marRight w:val="0"/>
          <w:marTop w:val="0"/>
          <w:marBottom w:val="0"/>
          <w:divBdr>
            <w:top w:val="none" w:sz="0" w:space="0" w:color="auto"/>
            <w:left w:val="none" w:sz="0" w:space="0" w:color="auto"/>
            <w:bottom w:val="none" w:sz="0" w:space="0" w:color="auto"/>
            <w:right w:val="none" w:sz="0" w:space="0" w:color="auto"/>
          </w:divBdr>
        </w:div>
        <w:div w:id="183784534">
          <w:marLeft w:val="0"/>
          <w:marRight w:val="0"/>
          <w:marTop w:val="0"/>
          <w:marBottom w:val="0"/>
          <w:divBdr>
            <w:top w:val="none" w:sz="0" w:space="0" w:color="auto"/>
            <w:left w:val="none" w:sz="0" w:space="0" w:color="auto"/>
            <w:bottom w:val="none" w:sz="0" w:space="0" w:color="auto"/>
            <w:right w:val="none" w:sz="0" w:space="0" w:color="auto"/>
          </w:divBdr>
        </w:div>
      </w:divsChild>
    </w:div>
    <w:div w:id="432091751">
      <w:bodyDiv w:val="1"/>
      <w:marLeft w:val="0"/>
      <w:marRight w:val="0"/>
      <w:marTop w:val="0"/>
      <w:marBottom w:val="0"/>
      <w:divBdr>
        <w:top w:val="none" w:sz="0" w:space="0" w:color="auto"/>
        <w:left w:val="none" w:sz="0" w:space="0" w:color="auto"/>
        <w:bottom w:val="none" w:sz="0" w:space="0" w:color="auto"/>
        <w:right w:val="none" w:sz="0" w:space="0" w:color="auto"/>
      </w:divBdr>
      <w:divsChild>
        <w:div w:id="1704788856">
          <w:marLeft w:val="360"/>
          <w:marRight w:val="0"/>
          <w:marTop w:val="200"/>
          <w:marBottom w:val="0"/>
          <w:divBdr>
            <w:top w:val="none" w:sz="0" w:space="0" w:color="auto"/>
            <w:left w:val="none" w:sz="0" w:space="0" w:color="auto"/>
            <w:bottom w:val="none" w:sz="0" w:space="0" w:color="auto"/>
            <w:right w:val="none" w:sz="0" w:space="0" w:color="auto"/>
          </w:divBdr>
        </w:div>
      </w:divsChild>
    </w:div>
    <w:div w:id="443891348">
      <w:bodyDiv w:val="1"/>
      <w:marLeft w:val="0"/>
      <w:marRight w:val="0"/>
      <w:marTop w:val="0"/>
      <w:marBottom w:val="0"/>
      <w:divBdr>
        <w:top w:val="none" w:sz="0" w:space="0" w:color="auto"/>
        <w:left w:val="none" w:sz="0" w:space="0" w:color="auto"/>
        <w:bottom w:val="none" w:sz="0" w:space="0" w:color="auto"/>
        <w:right w:val="none" w:sz="0" w:space="0" w:color="auto"/>
      </w:divBdr>
    </w:div>
    <w:div w:id="472911759">
      <w:bodyDiv w:val="1"/>
      <w:marLeft w:val="0"/>
      <w:marRight w:val="0"/>
      <w:marTop w:val="0"/>
      <w:marBottom w:val="0"/>
      <w:divBdr>
        <w:top w:val="none" w:sz="0" w:space="0" w:color="auto"/>
        <w:left w:val="none" w:sz="0" w:space="0" w:color="auto"/>
        <w:bottom w:val="none" w:sz="0" w:space="0" w:color="auto"/>
        <w:right w:val="none" w:sz="0" w:space="0" w:color="auto"/>
      </w:divBdr>
    </w:div>
    <w:div w:id="495071131">
      <w:bodyDiv w:val="1"/>
      <w:marLeft w:val="0"/>
      <w:marRight w:val="0"/>
      <w:marTop w:val="0"/>
      <w:marBottom w:val="0"/>
      <w:divBdr>
        <w:top w:val="none" w:sz="0" w:space="0" w:color="auto"/>
        <w:left w:val="none" w:sz="0" w:space="0" w:color="auto"/>
        <w:bottom w:val="none" w:sz="0" w:space="0" w:color="auto"/>
        <w:right w:val="none" w:sz="0" w:space="0" w:color="auto"/>
      </w:divBdr>
    </w:div>
    <w:div w:id="516774071">
      <w:bodyDiv w:val="1"/>
      <w:marLeft w:val="0"/>
      <w:marRight w:val="0"/>
      <w:marTop w:val="0"/>
      <w:marBottom w:val="0"/>
      <w:divBdr>
        <w:top w:val="none" w:sz="0" w:space="0" w:color="auto"/>
        <w:left w:val="none" w:sz="0" w:space="0" w:color="auto"/>
        <w:bottom w:val="none" w:sz="0" w:space="0" w:color="auto"/>
        <w:right w:val="none" w:sz="0" w:space="0" w:color="auto"/>
      </w:divBdr>
    </w:div>
    <w:div w:id="579826556">
      <w:bodyDiv w:val="1"/>
      <w:marLeft w:val="0"/>
      <w:marRight w:val="0"/>
      <w:marTop w:val="0"/>
      <w:marBottom w:val="0"/>
      <w:divBdr>
        <w:top w:val="none" w:sz="0" w:space="0" w:color="auto"/>
        <w:left w:val="none" w:sz="0" w:space="0" w:color="auto"/>
        <w:bottom w:val="none" w:sz="0" w:space="0" w:color="auto"/>
        <w:right w:val="none" w:sz="0" w:space="0" w:color="auto"/>
      </w:divBdr>
      <w:divsChild>
        <w:div w:id="252666654">
          <w:marLeft w:val="0"/>
          <w:marRight w:val="0"/>
          <w:marTop w:val="0"/>
          <w:marBottom w:val="0"/>
          <w:divBdr>
            <w:top w:val="none" w:sz="0" w:space="0" w:color="auto"/>
            <w:left w:val="none" w:sz="0" w:space="0" w:color="auto"/>
            <w:bottom w:val="none" w:sz="0" w:space="0" w:color="auto"/>
            <w:right w:val="none" w:sz="0" w:space="0" w:color="auto"/>
          </w:divBdr>
        </w:div>
        <w:div w:id="276329503">
          <w:marLeft w:val="0"/>
          <w:marRight w:val="0"/>
          <w:marTop w:val="0"/>
          <w:marBottom w:val="0"/>
          <w:divBdr>
            <w:top w:val="none" w:sz="0" w:space="0" w:color="auto"/>
            <w:left w:val="none" w:sz="0" w:space="0" w:color="auto"/>
            <w:bottom w:val="none" w:sz="0" w:space="0" w:color="auto"/>
            <w:right w:val="none" w:sz="0" w:space="0" w:color="auto"/>
          </w:divBdr>
        </w:div>
        <w:div w:id="52854125">
          <w:marLeft w:val="0"/>
          <w:marRight w:val="0"/>
          <w:marTop w:val="0"/>
          <w:marBottom w:val="0"/>
          <w:divBdr>
            <w:top w:val="none" w:sz="0" w:space="0" w:color="auto"/>
            <w:left w:val="none" w:sz="0" w:space="0" w:color="auto"/>
            <w:bottom w:val="none" w:sz="0" w:space="0" w:color="auto"/>
            <w:right w:val="none" w:sz="0" w:space="0" w:color="auto"/>
          </w:divBdr>
        </w:div>
        <w:div w:id="1958103409">
          <w:marLeft w:val="0"/>
          <w:marRight w:val="0"/>
          <w:marTop w:val="0"/>
          <w:marBottom w:val="0"/>
          <w:divBdr>
            <w:top w:val="none" w:sz="0" w:space="0" w:color="auto"/>
            <w:left w:val="none" w:sz="0" w:space="0" w:color="auto"/>
            <w:bottom w:val="none" w:sz="0" w:space="0" w:color="auto"/>
            <w:right w:val="none" w:sz="0" w:space="0" w:color="auto"/>
          </w:divBdr>
        </w:div>
        <w:div w:id="453334334">
          <w:marLeft w:val="0"/>
          <w:marRight w:val="0"/>
          <w:marTop w:val="0"/>
          <w:marBottom w:val="0"/>
          <w:divBdr>
            <w:top w:val="none" w:sz="0" w:space="0" w:color="auto"/>
            <w:left w:val="none" w:sz="0" w:space="0" w:color="auto"/>
            <w:bottom w:val="none" w:sz="0" w:space="0" w:color="auto"/>
            <w:right w:val="none" w:sz="0" w:space="0" w:color="auto"/>
          </w:divBdr>
        </w:div>
        <w:div w:id="1280334728">
          <w:marLeft w:val="0"/>
          <w:marRight w:val="0"/>
          <w:marTop w:val="0"/>
          <w:marBottom w:val="0"/>
          <w:divBdr>
            <w:top w:val="none" w:sz="0" w:space="0" w:color="auto"/>
            <w:left w:val="none" w:sz="0" w:space="0" w:color="auto"/>
            <w:bottom w:val="none" w:sz="0" w:space="0" w:color="auto"/>
            <w:right w:val="none" w:sz="0" w:space="0" w:color="auto"/>
          </w:divBdr>
        </w:div>
      </w:divsChild>
    </w:div>
    <w:div w:id="602957399">
      <w:bodyDiv w:val="1"/>
      <w:marLeft w:val="0"/>
      <w:marRight w:val="0"/>
      <w:marTop w:val="0"/>
      <w:marBottom w:val="0"/>
      <w:divBdr>
        <w:top w:val="none" w:sz="0" w:space="0" w:color="auto"/>
        <w:left w:val="none" w:sz="0" w:space="0" w:color="auto"/>
        <w:bottom w:val="none" w:sz="0" w:space="0" w:color="auto"/>
        <w:right w:val="none" w:sz="0" w:space="0" w:color="auto"/>
      </w:divBdr>
      <w:divsChild>
        <w:div w:id="1654871801">
          <w:marLeft w:val="360"/>
          <w:marRight w:val="0"/>
          <w:marTop w:val="200"/>
          <w:marBottom w:val="0"/>
          <w:divBdr>
            <w:top w:val="none" w:sz="0" w:space="0" w:color="auto"/>
            <w:left w:val="none" w:sz="0" w:space="0" w:color="auto"/>
            <w:bottom w:val="none" w:sz="0" w:space="0" w:color="auto"/>
            <w:right w:val="none" w:sz="0" w:space="0" w:color="auto"/>
          </w:divBdr>
        </w:div>
      </w:divsChild>
    </w:div>
    <w:div w:id="763762828">
      <w:bodyDiv w:val="1"/>
      <w:marLeft w:val="0"/>
      <w:marRight w:val="0"/>
      <w:marTop w:val="0"/>
      <w:marBottom w:val="0"/>
      <w:divBdr>
        <w:top w:val="none" w:sz="0" w:space="0" w:color="auto"/>
        <w:left w:val="none" w:sz="0" w:space="0" w:color="auto"/>
        <w:bottom w:val="none" w:sz="0" w:space="0" w:color="auto"/>
        <w:right w:val="none" w:sz="0" w:space="0" w:color="auto"/>
      </w:divBdr>
    </w:div>
    <w:div w:id="977950987">
      <w:bodyDiv w:val="1"/>
      <w:marLeft w:val="0"/>
      <w:marRight w:val="0"/>
      <w:marTop w:val="0"/>
      <w:marBottom w:val="0"/>
      <w:divBdr>
        <w:top w:val="none" w:sz="0" w:space="0" w:color="auto"/>
        <w:left w:val="none" w:sz="0" w:space="0" w:color="auto"/>
        <w:bottom w:val="none" w:sz="0" w:space="0" w:color="auto"/>
        <w:right w:val="none" w:sz="0" w:space="0" w:color="auto"/>
      </w:divBdr>
    </w:div>
    <w:div w:id="1040285454">
      <w:bodyDiv w:val="1"/>
      <w:marLeft w:val="0"/>
      <w:marRight w:val="0"/>
      <w:marTop w:val="0"/>
      <w:marBottom w:val="0"/>
      <w:divBdr>
        <w:top w:val="none" w:sz="0" w:space="0" w:color="auto"/>
        <w:left w:val="none" w:sz="0" w:space="0" w:color="auto"/>
        <w:bottom w:val="none" w:sz="0" w:space="0" w:color="auto"/>
        <w:right w:val="none" w:sz="0" w:space="0" w:color="auto"/>
      </w:divBdr>
    </w:div>
    <w:div w:id="1070807092">
      <w:bodyDiv w:val="1"/>
      <w:marLeft w:val="0"/>
      <w:marRight w:val="0"/>
      <w:marTop w:val="0"/>
      <w:marBottom w:val="0"/>
      <w:divBdr>
        <w:top w:val="none" w:sz="0" w:space="0" w:color="auto"/>
        <w:left w:val="none" w:sz="0" w:space="0" w:color="auto"/>
        <w:bottom w:val="none" w:sz="0" w:space="0" w:color="auto"/>
        <w:right w:val="none" w:sz="0" w:space="0" w:color="auto"/>
      </w:divBdr>
    </w:div>
    <w:div w:id="1256522953">
      <w:bodyDiv w:val="1"/>
      <w:marLeft w:val="0"/>
      <w:marRight w:val="0"/>
      <w:marTop w:val="0"/>
      <w:marBottom w:val="0"/>
      <w:divBdr>
        <w:top w:val="none" w:sz="0" w:space="0" w:color="auto"/>
        <w:left w:val="none" w:sz="0" w:space="0" w:color="auto"/>
        <w:bottom w:val="none" w:sz="0" w:space="0" w:color="auto"/>
        <w:right w:val="none" w:sz="0" w:space="0" w:color="auto"/>
      </w:divBdr>
    </w:div>
    <w:div w:id="1352344297">
      <w:bodyDiv w:val="1"/>
      <w:marLeft w:val="0"/>
      <w:marRight w:val="0"/>
      <w:marTop w:val="0"/>
      <w:marBottom w:val="0"/>
      <w:divBdr>
        <w:top w:val="none" w:sz="0" w:space="0" w:color="auto"/>
        <w:left w:val="none" w:sz="0" w:space="0" w:color="auto"/>
        <w:bottom w:val="none" w:sz="0" w:space="0" w:color="auto"/>
        <w:right w:val="none" w:sz="0" w:space="0" w:color="auto"/>
      </w:divBdr>
    </w:div>
    <w:div w:id="1361861290">
      <w:bodyDiv w:val="1"/>
      <w:marLeft w:val="0"/>
      <w:marRight w:val="0"/>
      <w:marTop w:val="0"/>
      <w:marBottom w:val="0"/>
      <w:divBdr>
        <w:top w:val="none" w:sz="0" w:space="0" w:color="auto"/>
        <w:left w:val="none" w:sz="0" w:space="0" w:color="auto"/>
        <w:bottom w:val="none" w:sz="0" w:space="0" w:color="auto"/>
        <w:right w:val="none" w:sz="0" w:space="0" w:color="auto"/>
      </w:divBdr>
    </w:div>
    <w:div w:id="1523279051">
      <w:bodyDiv w:val="1"/>
      <w:marLeft w:val="0"/>
      <w:marRight w:val="0"/>
      <w:marTop w:val="0"/>
      <w:marBottom w:val="0"/>
      <w:divBdr>
        <w:top w:val="none" w:sz="0" w:space="0" w:color="auto"/>
        <w:left w:val="none" w:sz="0" w:space="0" w:color="auto"/>
        <w:bottom w:val="none" w:sz="0" w:space="0" w:color="auto"/>
        <w:right w:val="none" w:sz="0" w:space="0" w:color="auto"/>
      </w:divBdr>
      <w:divsChild>
        <w:div w:id="959648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946725">
      <w:bodyDiv w:val="1"/>
      <w:marLeft w:val="0"/>
      <w:marRight w:val="0"/>
      <w:marTop w:val="0"/>
      <w:marBottom w:val="0"/>
      <w:divBdr>
        <w:top w:val="none" w:sz="0" w:space="0" w:color="auto"/>
        <w:left w:val="none" w:sz="0" w:space="0" w:color="auto"/>
        <w:bottom w:val="none" w:sz="0" w:space="0" w:color="auto"/>
        <w:right w:val="none" w:sz="0" w:space="0" w:color="auto"/>
      </w:divBdr>
    </w:div>
    <w:div w:id="1777940577">
      <w:bodyDiv w:val="1"/>
      <w:marLeft w:val="0"/>
      <w:marRight w:val="0"/>
      <w:marTop w:val="0"/>
      <w:marBottom w:val="0"/>
      <w:divBdr>
        <w:top w:val="none" w:sz="0" w:space="0" w:color="auto"/>
        <w:left w:val="none" w:sz="0" w:space="0" w:color="auto"/>
        <w:bottom w:val="none" w:sz="0" w:space="0" w:color="auto"/>
        <w:right w:val="none" w:sz="0" w:space="0" w:color="auto"/>
      </w:divBdr>
    </w:div>
    <w:div w:id="1853300883">
      <w:bodyDiv w:val="1"/>
      <w:marLeft w:val="0"/>
      <w:marRight w:val="0"/>
      <w:marTop w:val="0"/>
      <w:marBottom w:val="0"/>
      <w:divBdr>
        <w:top w:val="none" w:sz="0" w:space="0" w:color="auto"/>
        <w:left w:val="none" w:sz="0" w:space="0" w:color="auto"/>
        <w:bottom w:val="none" w:sz="0" w:space="0" w:color="auto"/>
        <w:right w:val="none" w:sz="0" w:space="0" w:color="auto"/>
      </w:divBdr>
    </w:div>
    <w:div w:id="1945840652">
      <w:bodyDiv w:val="1"/>
      <w:marLeft w:val="0"/>
      <w:marRight w:val="0"/>
      <w:marTop w:val="0"/>
      <w:marBottom w:val="0"/>
      <w:divBdr>
        <w:top w:val="none" w:sz="0" w:space="0" w:color="auto"/>
        <w:left w:val="none" w:sz="0" w:space="0" w:color="auto"/>
        <w:bottom w:val="none" w:sz="0" w:space="0" w:color="auto"/>
        <w:right w:val="none" w:sz="0" w:space="0" w:color="auto"/>
      </w:divBdr>
    </w:div>
    <w:div w:id="2066756060">
      <w:bodyDiv w:val="1"/>
      <w:marLeft w:val="0"/>
      <w:marRight w:val="0"/>
      <w:marTop w:val="0"/>
      <w:marBottom w:val="0"/>
      <w:divBdr>
        <w:top w:val="none" w:sz="0" w:space="0" w:color="auto"/>
        <w:left w:val="none" w:sz="0" w:space="0" w:color="auto"/>
        <w:bottom w:val="none" w:sz="0" w:space="0" w:color="auto"/>
        <w:right w:val="none" w:sz="0" w:space="0" w:color="auto"/>
      </w:divBdr>
      <w:divsChild>
        <w:div w:id="2145266770">
          <w:marLeft w:val="0"/>
          <w:marRight w:val="0"/>
          <w:marTop w:val="0"/>
          <w:marBottom w:val="0"/>
          <w:divBdr>
            <w:top w:val="none" w:sz="0" w:space="0" w:color="auto"/>
            <w:left w:val="none" w:sz="0" w:space="0" w:color="auto"/>
            <w:bottom w:val="none" w:sz="0" w:space="0" w:color="auto"/>
            <w:right w:val="none" w:sz="0" w:space="0" w:color="auto"/>
          </w:divBdr>
        </w:div>
        <w:div w:id="1462071114">
          <w:marLeft w:val="0"/>
          <w:marRight w:val="0"/>
          <w:marTop w:val="0"/>
          <w:marBottom w:val="0"/>
          <w:divBdr>
            <w:top w:val="none" w:sz="0" w:space="0" w:color="auto"/>
            <w:left w:val="none" w:sz="0" w:space="0" w:color="auto"/>
            <w:bottom w:val="none" w:sz="0" w:space="0" w:color="auto"/>
            <w:right w:val="none" w:sz="0" w:space="0" w:color="auto"/>
          </w:divBdr>
        </w:div>
        <w:div w:id="226116621">
          <w:marLeft w:val="0"/>
          <w:marRight w:val="0"/>
          <w:marTop w:val="0"/>
          <w:marBottom w:val="0"/>
          <w:divBdr>
            <w:top w:val="none" w:sz="0" w:space="0" w:color="auto"/>
            <w:left w:val="none" w:sz="0" w:space="0" w:color="auto"/>
            <w:bottom w:val="none" w:sz="0" w:space="0" w:color="auto"/>
            <w:right w:val="none" w:sz="0" w:space="0" w:color="auto"/>
          </w:divBdr>
        </w:div>
        <w:div w:id="830753341">
          <w:marLeft w:val="0"/>
          <w:marRight w:val="0"/>
          <w:marTop w:val="0"/>
          <w:marBottom w:val="0"/>
          <w:divBdr>
            <w:top w:val="none" w:sz="0" w:space="0" w:color="auto"/>
            <w:left w:val="none" w:sz="0" w:space="0" w:color="auto"/>
            <w:bottom w:val="none" w:sz="0" w:space="0" w:color="auto"/>
            <w:right w:val="none" w:sz="0" w:space="0" w:color="auto"/>
          </w:divBdr>
        </w:div>
        <w:div w:id="332025452">
          <w:marLeft w:val="0"/>
          <w:marRight w:val="0"/>
          <w:marTop w:val="0"/>
          <w:marBottom w:val="0"/>
          <w:divBdr>
            <w:top w:val="none" w:sz="0" w:space="0" w:color="auto"/>
            <w:left w:val="none" w:sz="0" w:space="0" w:color="auto"/>
            <w:bottom w:val="none" w:sz="0" w:space="0" w:color="auto"/>
            <w:right w:val="none" w:sz="0" w:space="0" w:color="auto"/>
          </w:divBdr>
        </w:div>
        <w:div w:id="666058349">
          <w:marLeft w:val="0"/>
          <w:marRight w:val="0"/>
          <w:marTop w:val="0"/>
          <w:marBottom w:val="0"/>
          <w:divBdr>
            <w:top w:val="none" w:sz="0" w:space="0" w:color="auto"/>
            <w:left w:val="none" w:sz="0" w:space="0" w:color="auto"/>
            <w:bottom w:val="none" w:sz="0" w:space="0" w:color="auto"/>
            <w:right w:val="none" w:sz="0" w:space="0" w:color="auto"/>
          </w:divBdr>
        </w:div>
      </w:divsChild>
    </w:div>
    <w:div w:id="2111584516">
      <w:bodyDiv w:val="1"/>
      <w:marLeft w:val="0"/>
      <w:marRight w:val="0"/>
      <w:marTop w:val="0"/>
      <w:marBottom w:val="0"/>
      <w:divBdr>
        <w:top w:val="none" w:sz="0" w:space="0" w:color="auto"/>
        <w:left w:val="none" w:sz="0" w:space="0" w:color="auto"/>
        <w:bottom w:val="none" w:sz="0" w:space="0" w:color="auto"/>
        <w:right w:val="none" w:sz="0" w:space="0" w:color="auto"/>
      </w:divBdr>
    </w:div>
    <w:div w:id="2141072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genda.ge/en/news/2019/2552" TargetMode="External"/><Relationship Id="rId7" Type="http://schemas.openxmlformats.org/officeDocument/2006/relationships/hyperlink" Target="http://www.sanctionsmap.eu" TargetMode="External"/><Relationship Id="rId2" Type="http://schemas.openxmlformats.org/officeDocument/2006/relationships/hyperlink" Target="https://www.uhcpartnership.net/wp-content/uploads/2019/04/JWT-Georgia-story-from-the-field-web-final-April-2019.pdf" TargetMode="External"/><Relationship Id="rId1" Type="http://schemas.openxmlformats.org/officeDocument/2006/relationships/hyperlink" Target="https://dashboards.sdgindex.org/" TargetMode="External"/><Relationship Id="rId6" Type="http://schemas.openxmlformats.org/officeDocument/2006/relationships/hyperlink" Target="https://www.uhcpartnership.net/" TargetMode="External"/><Relationship Id="rId5" Type="http://schemas.openxmlformats.org/officeDocument/2006/relationships/hyperlink" Target="https://www.theglobalfund.org" TargetMode="External"/><Relationship Id="rId4" Type="http://schemas.openxmlformats.org/officeDocument/2006/relationships/hyperlink" Target="http://www.georgia-ccm.ge/wp-content/uploads/Georgia-HIV-AIDS-National-Strategic-Plan-2019-20222.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900" b="1" i="0" u="none" strike="noStrike" cap="none" spc="0" normalizeH="0" baseline="0">
            <a:ln>
              <a:noFill/>
            </a:ln>
            <a:solidFill>
              <a:schemeClr val="accent1"/>
            </a:solidFill>
            <a:effectLst/>
            <a:uFill>
              <a:solidFill>
                <a:schemeClr val="accent1"/>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5F9DB-4497-46B4-BA27-58A99C06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9705</Words>
  <Characters>55325</Characters>
  <Application>Microsoft Office Word</Application>
  <DocSecurity>0</DocSecurity>
  <Lines>461</Lines>
  <Paragraphs>129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EEAS</Company>
  <LinksUpToDate>false</LinksUpToDate>
  <CharactersWithSpaces>64901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 Leila (EEAS-DUSHANBE)</dc:creator>
  <cp:lastModifiedBy>lajos kovacs</cp:lastModifiedBy>
  <cp:revision>4</cp:revision>
  <dcterms:created xsi:type="dcterms:W3CDTF">2020-03-10T10:15:00Z</dcterms:created>
  <dcterms:modified xsi:type="dcterms:W3CDTF">2020-03-10T10:46:00Z</dcterms:modified>
</cp:coreProperties>
</file>